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6F" w:rsidRPr="00C71913" w:rsidRDefault="00C5746F" w:rsidP="000561F7">
      <w:pPr>
        <w:spacing w:after="0" w:line="240" w:lineRule="auto"/>
        <w:jc w:val="center"/>
        <w:rPr>
          <w:b/>
          <w:sz w:val="28"/>
        </w:rPr>
      </w:pPr>
      <w:r w:rsidRPr="00C71913">
        <w:rPr>
          <w:b/>
          <w:sz w:val="28"/>
        </w:rPr>
        <w:t>Measurements of Volatile Organic Compounds (VOCs) via</w:t>
      </w:r>
      <w:r w:rsidR="000561F7">
        <w:rPr>
          <w:b/>
          <w:sz w:val="28"/>
        </w:rPr>
        <w:t xml:space="preserve"> the</w:t>
      </w:r>
    </w:p>
    <w:p w:rsidR="00C5746F" w:rsidRPr="00C71913" w:rsidRDefault="00C71913" w:rsidP="000561F7">
      <w:pPr>
        <w:spacing w:after="0" w:line="240" w:lineRule="auto"/>
        <w:jc w:val="center"/>
        <w:rPr>
          <w:b/>
          <w:sz w:val="28"/>
        </w:rPr>
      </w:pPr>
      <w:r>
        <w:rPr>
          <w:b/>
          <w:sz w:val="28"/>
        </w:rPr>
        <w:t>I</w:t>
      </w:r>
      <w:r w:rsidR="00C5746F" w:rsidRPr="00C71913">
        <w:rPr>
          <w:b/>
          <w:sz w:val="28"/>
        </w:rPr>
        <w:t xml:space="preserve">mproved Whole Air Sampler with </w:t>
      </w:r>
      <w:r>
        <w:rPr>
          <w:b/>
          <w:sz w:val="28"/>
        </w:rPr>
        <w:t>I</w:t>
      </w:r>
      <w:r w:rsidR="00C5746F" w:rsidRPr="00C71913">
        <w:rPr>
          <w:b/>
          <w:sz w:val="28"/>
        </w:rPr>
        <w:t xml:space="preserve">mmediate Analysis </w:t>
      </w:r>
      <w:r>
        <w:rPr>
          <w:b/>
          <w:sz w:val="28"/>
        </w:rPr>
        <w:t>S</w:t>
      </w:r>
      <w:r w:rsidR="00C5746F" w:rsidRPr="00C71913">
        <w:rPr>
          <w:b/>
          <w:sz w:val="28"/>
        </w:rPr>
        <w:t>ystem (iWAS2)</w:t>
      </w:r>
    </w:p>
    <w:p w:rsidR="005F1B7A" w:rsidRPr="00C71913" w:rsidRDefault="00C5746F" w:rsidP="000561F7">
      <w:pPr>
        <w:spacing w:after="0" w:line="240" w:lineRule="auto"/>
        <w:jc w:val="center"/>
        <w:rPr>
          <w:b/>
          <w:sz w:val="28"/>
        </w:rPr>
      </w:pPr>
      <w:proofErr w:type="gramStart"/>
      <w:r w:rsidRPr="00C71913">
        <w:rPr>
          <w:b/>
          <w:sz w:val="28"/>
        </w:rPr>
        <w:t>during</w:t>
      </w:r>
      <w:proofErr w:type="gramEnd"/>
      <w:r w:rsidRPr="00C71913">
        <w:rPr>
          <w:b/>
          <w:sz w:val="28"/>
        </w:rPr>
        <w:t xml:space="preserve"> SENEX 2013</w:t>
      </w:r>
    </w:p>
    <w:p w:rsidR="00C5746F" w:rsidRDefault="00C5746F" w:rsidP="000561F7">
      <w:pPr>
        <w:spacing w:after="0" w:line="240" w:lineRule="auto"/>
        <w:rPr>
          <w:b/>
        </w:rPr>
      </w:pPr>
    </w:p>
    <w:p w:rsidR="00C0789C" w:rsidRDefault="00C0789C" w:rsidP="000561F7">
      <w:pPr>
        <w:spacing w:after="0" w:line="240" w:lineRule="auto"/>
        <w:rPr>
          <w:b/>
        </w:rPr>
      </w:pPr>
      <w:r>
        <w:rPr>
          <w:b/>
        </w:rPr>
        <w:t>Princip</w:t>
      </w:r>
      <w:r w:rsidR="00750E41">
        <w:rPr>
          <w:b/>
        </w:rPr>
        <w:t>al</w:t>
      </w:r>
      <w:r>
        <w:rPr>
          <w:b/>
        </w:rPr>
        <w:t xml:space="preserve"> Investigators:</w:t>
      </w:r>
    </w:p>
    <w:p w:rsidR="00C0789C" w:rsidRDefault="00C0789C" w:rsidP="000561F7">
      <w:pPr>
        <w:spacing w:after="0" w:line="240" w:lineRule="auto"/>
      </w:pPr>
      <w:r w:rsidRPr="00C0789C">
        <w:t>Jessica B. Gilman</w:t>
      </w:r>
      <w:r>
        <w:t xml:space="preserve"> </w:t>
      </w:r>
      <w:r w:rsidR="00C71913">
        <w:tab/>
      </w:r>
      <w:hyperlink r:id="rId6" w:history="1">
        <w:r w:rsidRPr="00054890">
          <w:rPr>
            <w:rStyle w:val="Hyperlink"/>
          </w:rPr>
          <w:t>Jessica.Gilman@noaa.gov</w:t>
        </w:r>
      </w:hyperlink>
      <w:r>
        <w:tab/>
      </w:r>
      <w:r w:rsidRPr="000561F7">
        <w:rPr>
          <w:i/>
        </w:rPr>
        <w:t>CIRES and NOAA Chemical Sciences Div</w:t>
      </w:r>
      <w:r w:rsidR="00C71913" w:rsidRPr="000561F7">
        <w:rPr>
          <w:i/>
        </w:rPr>
        <w:t>ision</w:t>
      </w:r>
    </w:p>
    <w:p w:rsidR="00C0789C" w:rsidRPr="00C0789C" w:rsidRDefault="00C71913" w:rsidP="000561F7">
      <w:pPr>
        <w:spacing w:after="0" w:line="240" w:lineRule="auto"/>
      </w:pPr>
      <w:r>
        <w:t>Brian M. Lerner</w:t>
      </w:r>
      <w:r>
        <w:tab/>
      </w:r>
      <w:r>
        <w:tab/>
      </w:r>
      <w:hyperlink r:id="rId7" w:history="1">
        <w:r w:rsidR="00C0789C" w:rsidRPr="00054890">
          <w:rPr>
            <w:rStyle w:val="Hyperlink"/>
          </w:rPr>
          <w:t>Brian.Lerner@noaa.gov</w:t>
        </w:r>
      </w:hyperlink>
      <w:r w:rsidR="00C0789C">
        <w:tab/>
      </w:r>
      <w:r>
        <w:tab/>
      </w:r>
      <w:r w:rsidR="00C0789C" w:rsidRPr="000561F7">
        <w:rPr>
          <w:i/>
        </w:rPr>
        <w:t>CIRES and NOAA Chemical Sciences Div</w:t>
      </w:r>
      <w:r w:rsidRPr="000561F7">
        <w:rPr>
          <w:i/>
        </w:rPr>
        <w:t>ision</w:t>
      </w:r>
    </w:p>
    <w:p w:rsidR="00C0789C" w:rsidRPr="00C0789C" w:rsidRDefault="00C0789C" w:rsidP="00C0789C"/>
    <w:p w:rsidR="00C0789C" w:rsidRDefault="004D212B" w:rsidP="00C0789C">
      <w:pPr>
        <w:rPr>
          <w:b/>
        </w:rPr>
      </w:pPr>
      <w:proofErr w:type="gramStart"/>
      <w:r>
        <w:rPr>
          <w:b/>
        </w:rPr>
        <w:t>iWAS2</w:t>
      </w:r>
      <w:proofErr w:type="gramEnd"/>
      <w:r>
        <w:rPr>
          <w:b/>
        </w:rPr>
        <w:t xml:space="preserve"> consists of 3 independent systems</w:t>
      </w:r>
    </w:p>
    <w:tbl>
      <w:tblPr>
        <w:tblStyle w:val="TableGrid"/>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149"/>
        <w:gridCol w:w="3091"/>
      </w:tblGrid>
      <w:tr w:rsidR="00403D4D" w:rsidTr="00F9649F">
        <w:tc>
          <w:tcPr>
            <w:tcW w:w="3438" w:type="dxa"/>
          </w:tcPr>
          <w:p w:rsidR="00403D4D" w:rsidRDefault="00403D4D" w:rsidP="00557E8F">
            <w:pPr>
              <w:ind w:left="180" w:hanging="180"/>
              <w:rPr>
                <w:sz w:val="20"/>
              </w:rPr>
            </w:pPr>
            <w:r>
              <w:rPr>
                <w:sz w:val="20"/>
              </w:rPr>
              <w:t xml:space="preserve">1. Onboard in-situ sample collection via whole air sample </w:t>
            </w:r>
            <w:r w:rsidR="00F9649F">
              <w:rPr>
                <w:sz w:val="20"/>
              </w:rPr>
              <w:t xml:space="preserve">(WAS) </w:t>
            </w:r>
            <w:r>
              <w:rPr>
                <w:sz w:val="20"/>
              </w:rPr>
              <w:t>canisters located in AMPS pod on WP-3D.</w:t>
            </w:r>
          </w:p>
          <w:p w:rsidR="00403D4D" w:rsidRDefault="00403D4D" w:rsidP="00157B50">
            <w:pPr>
              <w:rPr>
                <w:sz w:val="20"/>
              </w:rPr>
            </w:pPr>
          </w:p>
          <w:p w:rsidR="00403D4D" w:rsidRDefault="00403D4D" w:rsidP="00157B50">
            <w:pPr>
              <w:rPr>
                <w:sz w:val="20"/>
              </w:rPr>
            </w:pPr>
            <w:r>
              <w:rPr>
                <w:noProof/>
                <w:sz w:val="20"/>
              </w:rPr>
              <w:drawing>
                <wp:anchor distT="0" distB="0" distL="114300" distR="114300" simplePos="0" relativeHeight="251668480" behindDoc="1" locked="0" layoutInCell="1" allowOverlap="1" wp14:anchorId="2A89174F" wp14:editId="68500B03">
                  <wp:simplePos x="0" y="0"/>
                  <wp:positionH relativeFrom="column">
                    <wp:posOffset>31115</wp:posOffset>
                  </wp:positionH>
                  <wp:positionV relativeFrom="paragraph">
                    <wp:posOffset>42545</wp:posOffset>
                  </wp:positionV>
                  <wp:extent cx="1949450" cy="1460500"/>
                  <wp:effectExtent l="19050" t="19050" r="12700" b="25400"/>
                  <wp:wrapTight wrapText="bothSides">
                    <wp:wrapPolygon edited="0">
                      <wp:start x="-211" y="-282"/>
                      <wp:lineTo x="-211" y="21694"/>
                      <wp:lineTo x="21530" y="21694"/>
                      <wp:lineTo x="21530" y="-282"/>
                      <wp:lineTo x="-211" y="-282"/>
                    </wp:wrapPolygon>
                  </wp:wrapTight>
                  <wp:docPr id="1" name="Picture 1" descr="C:\Users\jgilman\Desktop\IMG_1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ilman\Desktop\IMG_11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0" cy="14605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3149" w:type="dxa"/>
          </w:tcPr>
          <w:p w:rsidR="00403D4D" w:rsidRDefault="00403D4D" w:rsidP="00557E8F">
            <w:pPr>
              <w:ind w:left="264" w:hanging="264"/>
              <w:rPr>
                <w:sz w:val="20"/>
              </w:rPr>
            </w:pPr>
            <w:r>
              <w:rPr>
                <w:sz w:val="20"/>
              </w:rPr>
              <w:t>2. Immediate in-field analysis of WAS canisters via GC-MS</w:t>
            </w:r>
          </w:p>
          <w:p w:rsidR="00403D4D" w:rsidRDefault="00403D4D" w:rsidP="00157B50">
            <w:pPr>
              <w:rPr>
                <w:sz w:val="20"/>
              </w:rPr>
            </w:pPr>
            <w:r>
              <w:rPr>
                <w:noProof/>
                <w:sz w:val="20"/>
              </w:rPr>
              <w:drawing>
                <wp:anchor distT="0" distB="0" distL="0" distR="0" simplePos="0" relativeHeight="251670528" behindDoc="1" locked="0" layoutInCell="1" allowOverlap="1" wp14:anchorId="16B3BCC0" wp14:editId="085CBD49">
                  <wp:simplePos x="0" y="0"/>
                  <wp:positionH relativeFrom="column">
                    <wp:posOffset>-68580</wp:posOffset>
                  </wp:positionH>
                  <wp:positionV relativeFrom="paragraph">
                    <wp:posOffset>412115</wp:posOffset>
                  </wp:positionV>
                  <wp:extent cx="2148840" cy="1746250"/>
                  <wp:effectExtent l="10795" t="27305" r="14605" b="14605"/>
                  <wp:wrapTight wrapText="bothSides">
                    <wp:wrapPolygon edited="0">
                      <wp:start x="-274" y="21734"/>
                      <wp:lineTo x="21555" y="21734"/>
                      <wp:lineTo x="21555" y="55"/>
                      <wp:lineTo x="-274" y="55"/>
                      <wp:lineTo x="-274" y="21734"/>
                    </wp:wrapPolygon>
                  </wp:wrapTight>
                  <wp:docPr id="2" name="Picture 2" descr="C:\Users\jgilman\Desktop\IMG_1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ilman\Desktop\IMG_11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148840" cy="17462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3091" w:type="dxa"/>
          </w:tcPr>
          <w:p w:rsidR="00403D4D" w:rsidRDefault="00403D4D" w:rsidP="00557E8F">
            <w:pPr>
              <w:ind w:left="175" w:hanging="175"/>
              <w:rPr>
                <w:sz w:val="20"/>
              </w:rPr>
            </w:pPr>
            <w:r>
              <w:rPr>
                <w:noProof/>
                <w:sz w:val="20"/>
              </w:rPr>
              <w:drawing>
                <wp:anchor distT="0" distB="0" distL="114300" distR="114300" simplePos="0" relativeHeight="251666432" behindDoc="1" locked="0" layoutInCell="1" allowOverlap="1" wp14:anchorId="31C0CFE0" wp14:editId="4CF382DD">
                  <wp:simplePos x="0" y="0"/>
                  <wp:positionH relativeFrom="column">
                    <wp:posOffset>-36830</wp:posOffset>
                  </wp:positionH>
                  <wp:positionV relativeFrom="paragraph">
                    <wp:posOffset>787400</wp:posOffset>
                  </wp:positionV>
                  <wp:extent cx="2149475" cy="1611630"/>
                  <wp:effectExtent l="21273" t="16827" r="24447" b="24448"/>
                  <wp:wrapTight wrapText="bothSides">
                    <wp:wrapPolygon edited="0">
                      <wp:start x="-169" y="21885"/>
                      <wp:lineTo x="21654" y="21885"/>
                      <wp:lineTo x="21654" y="-72"/>
                      <wp:lineTo x="-169" y="-72"/>
                      <wp:lineTo x="-169" y="21885"/>
                    </wp:wrapPolygon>
                  </wp:wrapTight>
                  <wp:docPr id="3" name="Picture 3" descr="C:\Users\jgilman\Desktop\IMG_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ilman\Desktop\IMG_11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149475" cy="16116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sz w:val="20"/>
              </w:rPr>
              <w:t>3. In-field cleaning and conditioning of canisters to prep for sample collection.</w:t>
            </w:r>
          </w:p>
        </w:tc>
      </w:tr>
    </w:tbl>
    <w:p w:rsidR="00BB347A" w:rsidRDefault="00BB347A" w:rsidP="00BB347A">
      <w:pPr>
        <w:spacing w:after="0" w:line="240" w:lineRule="auto"/>
        <w:rPr>
          <w:sz w:val="20"/>
        </w:rPr>
      </w:pPr>
    </w:p>
    <w:p w:rsidR="00272E6F" w:rsidRDefault="001A32F7" w:rsidP="001A6106">
      <w:pPr>
        <w:spacing w:after="0"/>
        <w:rPr>
          <w:sz w:val="20"/>
        </w:rPr>
      </w:pPr>
      <w:r>
        <w:rPr>
          <w:sz w:val="20"/>
        </w:rPr>
        <w:t xml:space="preserve">The iWAS2 is designed to </w:t>
      </w:r>
      <w:proofErr w:type="spellStart"/>
      <w:r w:rsidR="00921BFE">
        <w:rPr>
          <w:sz w:val="20"/>
        </w:rPr>
        <w:t>speciate</w:t>
      </w:r>
      <w:proofErr w:type="spellEnd"/>
      <w:r w:rsidR="00921BFE">
        <w:rPr>
          <w:sz w:val="20"/>
        </w:rPr>
        <w:t xml:space="preserve"> and quantify</w:t>
      </w:r>
      <w:r>
        <w:rPr>
          <w:sz w:val="20"/>
        </w:rPr>
        <w:t xml:space="preserve"> a </w:t>
      </w:r>
      <w:r w:rsidR="000561F7">
        <w:rPr>
          <w:sz w:val="20"/>
        </w:rPr>
        <w:t xml:space="preserve">variety </w:t>
      </w:r>
      <w:r>
        <w:rPr>
          <w:sz w:val="20"/>
        </w:rPr>
        <w:t xml:space="preserve">of </w:t>
      </w:r>
      <w:r w:rsidR="000561F7">
        <w:rPr>
          <w:sz w:val="20"/>
        </w:rPr>
        <w:t>VOCs</w:t>
      </w:r>
      <w:r>
        <w:rPr>
          <w:sz w:val="20"/>
        </w:rPr>
        <w:t xml:space="preserve"> including alkanes, alkenes, biogenic VOCs (BVOCs), oxygenated VOCs (OVOCs), </w:t>
      </w:r>
      <w:r w:rsidR="005A3EC3">
        <w:rPr>
          <w:sz w:val="20"/>
        </w:rPr>
        <w:t xml:space="preserve">and </w:t>
      </w:r>
      <w:r>
        <w:rPr>
          <w:sz w:val="20"/>
        </w:rPr>
        <w:t>VOCs containing nitrogen, and halogens</w:t>
      </w:r>
      <w:r w:rsidR="00E207AF">
        <w:rPr>
          <w:sz w:val="20"/>
        </w:rPr>
        <w:t xml:space="preserve"> (see Table 1</w:t>
      </w:r>
      <w:r w:rsidR="00F9649F">
        <w:rPr>
          <w:sz w:val="20"/>
        </w:rPr>
        <w:t xml:space="preserve"> for an example list of species</w:t>
      </w:r>
      <w:r w:rsidR="00E207AF">
        <w:rPr>
          <w:sz w:val="20"/>
        </w:rPr>
        <w:t>)</w:t>
      </w:r>
      <w:r w:rsidR="005A3EC3">
        <w:rPr>
          <w:sz w:val="20"/>
        </w:rPr>
        <w:t>.</w:t>
      </w:r>
      <w:r w:rsidR="005A3EC3" w:rsidRPr="005A3EC3">
        <w:rPr>
          <w:sz w:val="20"/>
        </w:rPr>
        <w:t xml:space="preserve"> </w:t>
      </w:r>
      <w:r w:rsidR="005A3EC3">
        <w:rPr>
          <w:sz w:val="20"/>
        </w:rPr>
        <w:t xml:space="preserve">This instrument provides chemically detailed and highly sensitive measurements with </w:t>
      </w:r>
      <w:r w:rsidR="00272E6F">
        <w:rPr>
          <w:sz w:val="20"/>
        </w:rPr>
        <w:t xml:space="preserve">detection limits in the 1-20 </w:t>
      </w:r>
      <w:proofErr w:type="spellStart"/>
      <w:r w:rsidR="00272E6F">
        <w:rPr>
          <w:sz w:val="20"/>
        </w:rPr>
        <w:t>pptv</w:t>
      </w:r>
      <w:proofErr w:type="spellEnd"/>
      <w:r w:rsidR="00272E6F">
        <w:rPr>
          <w:sz w:val="20"/>
        </w:rPr>
        <w:t xml:space="preserve"> range depending on the VOC</w:t>
      </w:r>
      <w:r>
        <w:rPr>
          <w:sz w:val="20"/>
        </w:rPr>
        <w:t xml:space="preserve">.  </w:t>
      </w:r>
      <w:r w:rsidR="005A3EC3">
        <w:rPr>
          <w:sz w:val="20"/>
        </w:rPr>
        <w:t>Each VOC is identified by its chromatographic retention time and electron-impa</w:t>
      </w:r>
      <w:r w:rsidR="007955CC">
        <w:rPr>
          <w:sz w:val="20"/>
        </w:rPr>
        <w:t>ct mass fragmentation pattern</w:t>
      </w:r>
      <w:r w:rsidR="000561F7">
        <w:rPr>
          <w:sz w:val="20"/>
        </w:rPr>
        <w:t xml:space="preserve"> and will be individually calibrated for using commercial and</w:t>
      </w:r>
      <w:r w:rsidR="00310600">
        <w:rPr>
          <w:sz w:val="20"/>
        </w:rPr>
        <w:t xml:space="preserve"> custom-made calibration standards</w:t>
      </w:r>
      <w:r w:rsidR="007955CC">
        <w:rPr>
          <w:sz w:val="20"/>
        </w:rPr>
        <w:t>.</w:t>
      </w:r>
    </w:p>
    <w:p w:rsidR="00272E6F" w:rsidRDefault="00272E6F" w:rsidP="001A6106">
      <w:pPr>
        <w:spacing w:after="0"/>
        <w:rPr>
          <w:sz w:val="20"/>
        </w:rPr>
      </w:pPr>
    </w:p>
    <w:p w:rsidR="009B6BAA" w:rsidRDefault="001A32F7" w:rsidP="001A6106">
      <w:pPr>
        <w:spacing w:after="0"/>
        <w:rPr>
          <w:sz w:val="20"/>
        </w:rPr>
      </w:pPr>
      <w:r>
        <w:rPr>
          <w:sz w:val="20"/>
        </w:rPr>
        <w:t>Each ambient air sample is collected aboard the NOAA WP-3D aircraft in 1.3 L electro-polished stainless</w:t>
      </w:r>
      <w:r w:rsidR="001A6106">
        <w:rPr>
          <w:sz w:val="20"/>
        </w:rPr>
        <w:t xml:space="preserve"> </w:t>
      </w:r>
      <w:r>
        <w:rPr>
          <w:sz w:val="20"/>
        </w:rPr>
        <w:t>steel canisters that are pressurized to ~</w:t>
      </w:r>
      <w:r w:rsidR="00272E6F">
        <w:rPr>
          <w:sz w:val="20"/>
        </w:rPr>
        <w:t>4</w:t>
      </w:r>
      <w:r>
        <w:rPr>
          <w:sz w:val="20"/>
        </w:rPr>
        <w:t xml:space="preserve">0 psi </w:t>
      </w:r>
      <w:r w:rsidR="00310600">
        <w:rPr>
          <w:sz w:val="20"/>
        </w:rPr>
        <w:t xml:space="preserve">by a </w:t>
      </w:r>
      <w:r w:rsidR="00872B10">
        <w:rPr>
          <w:sz w:val="20"/>
        </w:rPr>
        <w:t>stainless steel bellows compressor</w:t>
      </w:r>
      <w:r w:rsidR="00310600">
        <w:rPr>
          <w:sz w:val="20"/>
        </w:rPr>
        <w:t xml:space="preserve"> </w:t>
      </w:r>
      <w:r>
        <w:rPr>
          <w:sz w:val="20"/>
        </w:rPr>
        <w:t xml:space="preserve">during sample acquisition.  Total sample </w:t>
      </w:r>
      <w:r w:rsidR="00310600">
        <w:rPr>
          <w:sz w:val="20"/>
        </w:rPr>
        <w:t>acquisition</w:t>
      </w:r>
      <w:r>
        <w:rPr>
          <w:sz w:val="20"/>
        </w:rPr>
        <w:t xml:space="preserve"> time is &lt;10 seconds </w:t>
      </w:r>
      <w:r w:rsidR="00872B10">
        <w:rPr>
          <w:sz w:val="20"/>
        </w:rPr>
        <w:t xml:space="preserve">and </w:t>
      </w:r>
      <w:r>
        <w:rPr>
          <w:sz w:val="20"/>
        </w:rPr>
        <w:t>depend</w:t>
      </w:r>
      <w:r w:rsidR="00872B10">
        <w:rPr>
          <w:sz w:val="20"/>
        </w:rPr>
        <w:t>ent</w:t>
      </w:r>
      <w:r>
        <w:rPr>
          <w:sz w:val="20"/>
        </w:rPr>
        <w:t xml:space="preserve"> </w:t>
      </w:r>
      <w:r w:rsidR="00872B10">
        <w:rPr>
          <w:sz w:val="20"/>
        </w:rPr>
        <w:t>up</w:t>
      </w:r>
      <w:r>
        <w:rPr>
          <w:sz w:val="20"/>
        </w:rPr>
        <w:t>on aircraft altitude.</w:t>
      </w:r>
      <w:r w:rsidR="009B6BAA">
        <w:rPr>
          <w:sz w:val="20"/>
        </w:rPr>
        <w:t xml:space="preserve">  The canister design, collection and conditioning protocols have been adopted from the NCAR AWAS system </w:t>
      </w:r>
      <w:r w:rsidR="000561F7">
        <w:rPr>
          <w:sz w:val="20"/>
        </w:rPr>
        <w:t>[</w:t>
      </w:r>
      <w:r w:rsidR="00557E8F">
        <w:rPr>
          <w:sz w:val="20"/>
        </w:rPr>
        <w:t>Blake et al. (1994)</w:t>
      </w:r>
      <w:r w:rsidR="000561F7">
        <w:rPr>
          <w:sz w:val="20"/>
        </w:rPr>
        <w:t>]</w:t>
      </w:r>
      <w:r w:rsidR="009B6BAA">
        <w:rPr>
          <w:sz w:val="20"/>
        </w:rPr>
        <w:t>.</w:t>
      </w:r>
    </w:p>
    <w:p w:rsidR="009B6BAA" w:rsidRDefault="009B6BAA" w:rsidP="001A6106">
      <w:pPr>
        <w:spacing w:after="0"/>
        <w:rPr>
          <w:sz w:val="20"/>
        </w:rPr>
      </w:pPr>
    </w:p>
    <w:p w:rsidR="000561F7" w:rsidRDefault="009B6BAA" w:rsidP="001A6106">
      <w:pPr>
        <w:spacing w:after="0"/>
        <w:rPr>
          <w:sz w:val="20"/>
        </w:rPr>
      </w:pPr>
      <w:r>
        <w:rPr>
          <w:sz w:val="20"/>
        </w:rPr>
        <w:t xml:space="preserve">Each </w:t>
      </w:r>
      <w:r w:rsidR="00272E6F">
        <w:rPr>
          <w:sz w:val="20"/>
        </w:rPr>
        <w:t>canister</w:t>
      </w:r>
      <w:r>
        <w:rPr>
          <w:sz w:val="20"/>
        </w:rPr>
        <w:t xml:space="preserve"> </w:t>
      </w:r>
      <w:r w:rsidR="007955CC">
        <w:rPr>
          <w:sz w:val="20"/>
        </w:rPr>
        <w:t xml:space="preserve">is </w:t>
      </w:r>
      <w:r>
        <w:rPr>
          <w:sz w:val="20"/>
        </w:rPr>
        <w:t>immediately analyzed</w:t>
      </w:r>
      <w:r w:rsidR="000561F7" w:rsidRPr="000561F7">
        <w:rPr>
          <w:sz w:val="20"/>
        </w:rPr>
        <w:t xml:space="preserve"> </w:t>
      </w:r>
      <w:r w:rsidR="000561F7">
        <w:rPr>
          <w:sz w:val="20"/>
        </w:rPr>
        <w:t xml:space="preserve">post-flight </w:t>
      </w:r>
      <w:r>
        <w:rPr>
          <w:sz w:val="20"/>
        </w:rPr>
        <w:t>in the field via gas chromatography-mass spectrometry (GC-MS).  The custom-built GC-MS</w:t>
      </w:r>
      <w:r w:rsidR="001E3D4B">
        <w:rPr>
          <w:sz w:val="20"/>
        </w:rPr>
        <w:t xml:space="preserve"> consists of two channels </w:t>
      </w:r>
      <w:r w:rsidR="00750E41">
        <w:rPr>
          <w:sz w:val="20"/>
        </w:rPr>
        <w:t>optimized for</w:t>
      </w:r>
      <w:r w:rsidR="001E3D4B">
        <w:rPr>
          <w:sz w:val="20"/>
        </w:rPr>
        <w:t xml:space="preserve"> </w:t>
      </w:r>
      <w:r w:rsidR="00750E41">
        <w:rPr>
          <w:sz w:val="20"/>
        </w:rPr>
        <w:t>“light VOCs” (channel 1) and “heavier VOCs” (channel 2)</w:t>
      </w:r>
      <w:r w:rsidR="005653D8">
        <w:rPr>
          <w:sz w:val="20"/>
        </w:rPr>
        <w:t xml:space="preserve"> with a single quadrupole mass spectrometer detector run in selective ion mode for increased signal-to-noise</w:t>
      </w:r>
      <w:r w:rsidR="000561F7">
        <w:rPr>
          <w:sz w:val="20"/>
        </w:rPr>
        <w:t xml:space="preserve"> [Gilman et al. (2010)]</w:t>
      </w:r>
      <w:r w:rsidR="005653D8">
        <w:rPr>
          <w:sz w:val="20"/>
        </w:rPr>
        <w:t>.</w:t>
      </w:r>
      <w:r w:rsidR="001A6106">
        <w:rPr>
          <w:sz w:val="20"/>
        </w:rPr>
        <w:t xml:space="preserve">  </w:t>
      </w:r>
      <w:r w:rsidR="00750E41">
        <w:rPr>
          <w:sz w:val="20"/>
        </w:rPr>
        <w:t xml:space="preserve">Two </w:t>
      </w:r>
      <w:r w:rsidR="005653D8">
        <w:rPr>
          <w:sz w:val="20"/>
        </w:rPr>
        <w:t xml:space="preserve">240 </w:t>
      </w:r>
      <w:proofErr w:type="spellStart"/>
      <w:r w:rsidR="005653D8">
        <w:rPr>
          <w:sz w:val="20"/>
        </w:rPr>
        <w:t>sccm</w:t>
      </w:r>
      <w:proofErr w:type="spellEnd"/>
      <w:r w:rsidR="005653D8">
        <w:rPr>
          <w:sz w:val="20"/>
        </w:rPr>
        <w:t xml:space="preserve"> </w:t>
      </w:r>
      <w:r w:rsidR="00750E41">
        <w:rPr>
          <w:sz w:val="20"/>
        </w:rPr>
        <w:t xml:space="preserve">samples are simultaneously collected from each canister.  </w:t>
      </w:r>
      <w:r w:rsidR="0026676C">
        <w:rPr>
          <w:sz w:val="20"/>
        </w:rPr>
        <w:t xml:space="preserve">There is enough </w:t>
      </w:r>
      <w:r w:rsidR="00872B10">
        <w:rPr>
          <w:sz w:val="20"/>
        </w:rPr>
        <w:t>sample</w:t>
      </w:r>
      <w:r w:rsidR="00F9649F">
        <w:rPr>
          <w:sz w:val="20"/>
        </w:rPr>
        <w:t xml:space="preserve"> volume</w:t>
      </w:r>
      <w:r w:rsidR="0026676C">
        <w:rPr>
          <w:sz w:val="20"/>
        </w:rPr>
        <w:t xml:space="preserve"> in each canister for replicate </w:t>
      </w:r>
      <w:r w:rsidR="00872B10">
        <w:rPr>
          <w:sz w:val="20"/>
        </w:rPr>
        <w:t>analysis</w:t>
      </w:r>
      <w:r w:rsidR="0026676C">
        <w:rPr>
          <w:sz w:val="20"/>
        </w:rPr>
        <w:t xml:space="preserve"> if necessary; however, most canisters will only be analyzed once.</w:t>
      </w:r>
      <w:r w:rsidR="001A6106">
        <w:rPr>
          <w:sz w:val="20"/>
        </w:rPr>
        <w:t xml:space="preserve">  </w:t>
      </w:r>
    </w:p>
    <w:p w:rsidR="0026676C" w:rsidRDefault="00750E41" w:rsidP="001A6106">
      <w:pPr>
        <w:spacing w:after="0"/>
        <w:rPr>
          <w:sz w:val="20"/>
        </w:rPr>
      </w:pPr>
      <w:r>
        <w:rPr>
          <w:sz w:val="20"/>
        </w:rPr>
        <w:lastRenderedPageBreak/>
        <w:t xml:space="preserve">VOCs are pre-concentrated </w:t>
      </w:r>
      <w:r w:rsidR="00BF7381">
        <w:rPr>
          <w:sz w:val="20"/>
        </w:rPr>
        <w:t>via cryogenic trapping at temperatures between -1</w:t>
      </w:r>
      <w:r w:rsidR="005653D8">
        <w:rPr>
          <w:sz w:val="20"/>
        </w:rPr>
        <w:t>6</w:t>
      </w:r>
      <w:r w:rsidR="00BF7381">
        <w:rPr>
          <w:sz w:val="20"/>
        </w:rPr>
        <w:t>5 and -1</w:t>
      </w:r>
      <w:r w:rsidR="005653D8">
        <w:rPr>
          <w:sz w:val="20"/>
        </w:rPr>
        <w:t>4</w:t>
      </w:r>
      <w:r w:rsidR="001A6106">
        <w:rPr>
          <w:sz w:val="20"/>
        </w:rPr>
        <w:t>5</w:t>
      </w:r>
      <w:r w:rsidR="00BF7381">
        <w:rPr>
          <w:sz w:val="20"/>
        </w:rPr>
        <w:t>°C</w:t>
      </w:r>
      <w:r w:rsidR="0026676C">
        <w:rPr>
          <w:sz w:val="20"/>
        </w:rPr>
        <w:t xml:space="preserve"> for channels 1 and 2, respectively</w:t>
      </w:r>
      <w:r w:rsidR="00BF7381">
        <w:rPr>
          <w:sz w:val="20"/>
        </w:rPr>
        <w:t>.</w:t>
      </w:r>
      <w:r w:rsidR="005653D8">
        <w:rPr>
          <w:sz w:val="20"/>
        </w:rPr>
        <w:t xml:space="preserve">  </w:t>
      </w:r>
      <w:r w:rsidR="00872B10">
        <w:rPr>
          <w:sz w:val="20"/>
        </w:rPr>
        <w:t xml:space="preserve">Prior to </w:t>
      </w:r>
      <w:proofErr w:type="spellStart"/>
      <w:r w:rsidR="00872B10">
        <w:rPr>
          <w:sz w:val="20"/>
        </w:rPr>
        <w:t>cryo</w:t>
      </w:r>
      <w:proofErr w:type="spellEnd"/>
      <w:r w:rsidR="00872B10">
        <w:rPr>
          <w:sz w:val="20"/>
        </w:rPr>
        <w:t>-trapping, H</w:t>
      </w:r>
      <w:r w:rsidR="00872B10" w:rsidRPr="00872B10">
        <w:rPr>
          <w:sz w:val="20"/>
          <w:vertAlign w:val="subscript"/>
        </w:rPr>
        <w:t>2</w:t>
      </w:r>
      <w:r w:rsidR="00872B10">
        <w:rPr>
          <w:sz w:val="20"/>
        </w:rPr>
        <w:t>O is removed from the sample stream via a cold trap (-45 and -35°C, respectively), and CO</w:t>
      </w:r>
      <w:r w:rsidR="00872B10" w:rsidRPr="00872B10">
        <w:rPr>
          <w:sz w:val="20"/>
          <w:vertAlign w:val="subscript"/>
        </w:rPr>
        <w:t>2</w:t>
      </w:r>
      <w:r w:rsidR="00872B10">
        <w:rPr>
          <w:sz w:val="20"/>
        </w:rPr>
        <w:t xml:space="preserve"> is removed from the channel 1 sample via an ascarite scrubber.  The samples are analyzed sequentially</w:t>
      </w:r>
      <w:r w:rsidR="005653D8">
        <w:rPr>
          <w:sz w:val="20"/>
        </w:rPr>
        <w:t xml:space="preserve">.  </w:t>
      </w:r>
      <w:r w:rsidR="0026676C">
        <w:rPr>
          <w:sz w:val="20"/>
        </w:rPr>
        <w:t xml:space="preserve">The channel 1 sample trap is </w:t>
      </w:r>
      <w:r w:rsidR="00EB4A9F">
        <w:rPr>
          <w:sz w:val="20"/>
        </w:rPr>
        <w:t xml:space="preserve">rapidly </w:t>
      </w:r>
      <w:r w:rsidR="0026676C">
        <w:rPr>
          <w:sz w:val="20"/>
        </w:rPr>
        <w:t>heated from -165 to 35°C</w:t>
      </w:r>
      <w:r w:rsidR="00EB4A9F">
        <w:rPr>
          <w:sz w:val="20"/>
        </w:rPr>
        <w:t>,</w:t>
      </w:r>
      <w:r w:rsidR="0026676C">
        <w:rPr>
          <w:sz w:val="20"/>
        </w:rPr>
        <w:t xml:space="preserve"> injecting the sample onto an Al</w:t>
      </w:r>
      <w:r w:rsidR="0026676C" w:rsidRPr="005653D8">
        <w:rPr>
          <w:sz w:val="20"/>
          <w:vertAlign w:val="subscript"/>
        </w:rPr>
        <w:t>2</w:t>
      </w:r>
      <w:r w:rsidR="0026676C">
        <w:rPr>
          <w:sz w:val="20"/>
        </w:rPr>
        <w:t>O</w:t>
      </w:r>
      <w:r w:rsidR="0026676C" w:rsidRPr="005653D8">
        <w:rPr>
          <w:sz w:val="20"/>
          <w:vertAlign w:val="subscript"/>
        </w:rPr>
        <w:t>3</w:t>
      </w:r>
      <w:r w:rsidR="0026676C">
        <w:rPr>
          <w:sz w:val="20"/>
        </w:rPr>
        <w:t>-KCl PLOT column</w:t>
      </w:r>
      <w:r w:rsidR="0018478F">
        <w:rPr>
          <w:sz w:val="20"/>
        </w:rPr>
        <w:t>.  The column effluent goes through a 4-port valve at the inlet to the mass spectrometer.</w:t>
      </w:r>
      <w:r w:rsidR="0026676C">
        <w:rPr>
          <w:sz w:val="20"/>
        </w:rPr>
        <w:t xml:space="preserve">  After channel 1 analysis is complete, channel 2 sample </w:t>
      </w:r>
      <w:proofErr w:type="gramStart"/>
      <w:r w:rsidR="0026676C">
        <w:rPr>
          <w:sz w:val="20"/>
        </w:rPr>
        <w:t>trap</w:t>
      </w:r>
      <w:proofErr w:type="gramEnd"/>
      <w:r w:rsidR="0026676C">
        <w:rPr>
          <w:sz w:val="20"/>
        </w:rPr>
        <w:t xml:space="preserve"> is </w:t>
      </w:r>
      <w:r w:rsidR="007955CC">
        <w:rPr>
          <w:sz w:val="20"/>
        </w:rPr>
        <w:t xml:space="preserve">then </w:t>
      </w:r>
      <w:r w:rsidR="00EB4A9F">
        <w:rPr>
          <w:sz w:val="20"/>
        </w:rPr>
        <w:t>rapidly heated from -145 to 35°C,</w:t>
      </w:r>
      <w:r w:rsidR="0026676C">
        <w:rPr>
          <w:sz w:val="20"/>
        </w:rPr>
        <w:t xml:space="preserve"> injecting the sample on a DB-62</w:t>
      </w:r>
      <w:r w:rsidR="00EB4A9F">
        <w:rPr>
          <w:sz w:val="20"/>
        </w:rPr>
        <w:t>4</w:t>
      </w:r>
      <w:r w:rsidR="0026676C">
        <w:rPr>
          <w:sz w:val="20"/>
        </w:rPr>
        <w:t xml:space="preserve"> column</w:t>
      </w:r>
      <w:r w:rsidR="007955CC">
        <w:rPr>
          <w:sz w:val="20"/>
        </w:rPr>
        <w:t xml:space="preserve"> and the </w:t>
      </w:r>
      <w:r w:rsidR="0026676C">
        <w:rPr>
          <w:sz w:val="20"/>
        </w:rPr>
        <w:t xml:space="preserve">4-port valve </w:t>
      </w:r>
      <w:r w:rsidR="0018478F">
        <w:rPr>
          <w:sz w:val="20"/>
        </w:rPr>
        <w:t xml:space="preserve">is re-positioned so that the effluent from channel 2 is directed to the mass spectrometer </w:t>
      </w:r>
      <w:r w:rsidR="00EB4A9F">
        <w:rPr>
          <w:sz w:val="20"/>
        </w:rPr>
        <w:t>while</w:t>
      </w:r>
      <w:r w:rsidR="0018478F">
        <w:rPr>
          <w:sz w:val="20"/>
        </w:rPr>
        <w:t xml:space="preserve"> channel 1 is vented.  The entire sample pre-concentration (4 min) and analysis (16 min) is automatically repeated for </w:t>
      </w:r>
      <w:r w:rsidR="001A6106">
        <w:rPr>
          <w:sz w:val="20"/>
        </w:rPr>
        <w:t>subsequent</w:t>
      </w:r>
      <w:r w:rsidR="0018478F">
        <w:rPr>
          <w:sz w:val="20"/>
        </w:rPr>
        <w:t xml:space="preserve"> canister</w:t>
      </w:r>
      <w:r w:rsidR="001A6106">
        <w:rPr>
          <w:sz w:val="20"/>
        </w:rPr>
        <w:t>s</w:t>
      </w:r>
      <w:r w:rsidR="0018478F">
        <w:rPr>
          <w:sz w:val="20"/>
        </w:rPr>
        <w:t>.  Each canister requires a minimum of 20 minutes for analysis.  All 72 canisters col</w:t>
      </w:r>
      <w:r w:rsidR="001A6106">
        <w:rPr>
          <w:sz w:val="20"/>
        </w:rPr>
        <w:t xml:space="preserve">lected per flight will be analyzed within 24-36 hours </w:t>
      </w:r>
      <w:r w:rsidR="007955CC">
        <w:rPr>
          <w:sz w:val="20"/>
        </w:rPr>
        <w:t>post-flight</w:t>
      </w:r>
      <w:r w:rsidR="001A6106">
        <w:rPr>
          <w:sz w:val="20"/>
        </w:rPr>
        <w:t>.</w:t>
      </w:r>
      <w:r w:rsidR="007955CC">
        <w:rPr>
          <w:sz w:val="20"/>
        </w:rPr>
        <w:t xml:space="preserve">  </w:t>
      </w:r>
      <w:r w:rsidR="00C40169">
        <w:rPr>
          <w:sz w:val="20"/>
        </w:rPr>
        <w:t>Preliminary field data from the canisters should be available within 48-72 hours post-flight.</w:t>
      </w:r>
    </w:p>
    <w:p w:rsidR="001A6106" w:rsidRDefault="001A6106" w:rsidP="001A6106">
      <w:pPr>
        <w:spacing w:after="0"/>
        <w:rPr>
          <w:sz w:val="20"/>
        </w:rPr>
      </w:pPr>
    </w:p>
    <w:p w:rsidR="0026676C" w:rsidRDefault="001A6106" w:rsidP="005A3EC3">
      <w:pPr>
        <w:spacing w:after="0"/>
        <w:rPr>
          <w:sz w:val="20"/>
        </w:rPr>
      </w:pPr>
      <w:r>
        <w:rPr>
          <w:sz w:val="20"/>
        </w:rPr>
        <w:t xml:space="preserve">After the canisters have been analyzed, they must be prepared and conditioned for reuse.  Each canister </w:t>
      </w:r>
      <w:r w:rsidR="004406BD">
        <w:rPr>
          <w:sz w:val="20"/>
        </w:rPr>
        <w:t>is</w:t>
      </w:r>
      <w:r>
        <w:rPr>
          <w:sz w:val="20"/>
        </w:rPr>
        <w:t xml:space="preserve"> evacuated and checked for leaks.  The canisters </w:t>
      </w:r>
      <w:r w:rsidR="004406BD">
        <w:rPr>
          <w:sz w:val="20"/>
        </w:rPr>
        <w:t>are</w:t>
      </w:r>
      <w:r>
        <w:rPr>
          <w:sz w:val="20"/>
        </w:rPr>
        <w:t xml:space="preserve"> then </w:t>
      </w:r>
      <w:r w:rsidR="00557E8F">
        <w:rPr>
          <w:sz w:val="20"/>
        </w:rPr>
        <w:t>heated to 75°C under vacuum, then</w:t>
      </w:r>
      <w:r w:rsidR="005A3EC3">
        <w:rPr>
          <w:sz w:val="20"/>
        </w:rPr>
        <w:t xml:space="preserve"> </w:t>
      </w:r>
      <w:r>
        <w:rPr>
          <w:sz w:val="20"/>
        </w:rPr>
        <w:t>filled with high purity nitrogen</w:t>
      </w:r>
      <w:r w:rsidR="00557E8F">
        <w:rPr>
          <w:sz w:val="20"/>
        </w:rPr>
        <w:t xml:space="preserve"> and</w:t>
      </w:r>
      <w:r w:rsidR="005A3EC3">
        <w:rPr>
          <w:sz w:val="20"/>
        </w:rPr>
        <w:t xml:space="preserve"> </w:t>
      </w:r>
      <w:r w:rsidR="00557E8F">
        <w:rPr>
          <w:sz w:val="20"/>
        </w:rPr>
        <w:t>re-</w:t>
      </w:r>
      <w:r w:rsidR="005A3EC3">
        <w:rPr>
          <w:sz w:val="20"/>
        </w:rPr>
        <w:t xml:space="preserve">evacuated.  The nitrogen flush process </w:t>
      </w:r>
      <w:r w:rsidR="004406BD">
        <w:rPr>
          <w:sz w:val="20"/>
        </w:rPr>
        <w:t>is</w:t>
      </w:r>
      <w:r w:rsidR="005A3EC3">
        <w:rPr>
          <w:sz w:val="20"/>
        </w:rPr>
        <w:t xml:space="preserve"> repeated a minimum of 3 times.   Humidified air may also be added during the final flushing process if necessary.  A full set of 72 canisters will require up to 12 hours of cleaning and conditioning before they are ready to </w:t>
      </w:r>
      <w:r w:rsidR="004406BD">
        <w:rPr>
          <w:sz w:val="20"/>
        </w:rPr>
        <w:t>re-</w:t>
      </w:r>
      <w:r w:rsidR="005A3EC3">
        <w:rPr>
          <w:sz w:val="20"/>
        </w:rPr>
        <w:t>use.</w:t>
      </w:r>
    </w:p>
    <w:p w:rsidR="005653D8" w:rsidRDefault="005653D8" w:rsidP="001E3D4B">
      <w:pPr>
        <w:spacing w:after="0" w:line="240" w:lineRule="auto"/>
        <w:rPr>
          <w:sz w:val="20"/>
        </w:rPr>
      </w:pPr>
    </w:p>
    <w:p w:rsidR="0081372B" w:rsidRDefault="008904EC" w:rsidP="0018478F">
      <w:pPr>
        <w:spacing w:after="0" w:line="240" w:lineRule="auto"/>
        <w:rPr>
          <w:sz w:val="20"/>
        </w:rPr>
      </w:pPr>
      <w:proofErr w:type="gramStart"/>
      <w:r w:rsidRPr="0081372B">
        <w:rPr>
          <w:b/>
          <w:sz w:val="20"/>
        </w:rPr>
        <w:t>Table 1</w:t>
      </w:r>
      <w:r>
        <w:rPr>
          <w:sz w:val="20"/>
        </w:rPr>
        <w:t>.</w:t>
      </w:r>
      <w:proofErr w:type="gramEnd"/>
      <w:r>
        <w:rPr>
          <w:sz w:val="20"/>
        </w:rPr>
        <w:t xml:space="preserve">  </w:t>
      </w:r>
      <w:r w:rsidR="00F9649F">
        <w:rPr>
          <w:sz w:val="20"/>
        </w:rPr>
        <w:t>Compound classes and select VOCs</w:t>
      </w:r>
      <w:r>
        <w:rPr>
          <w:sz w:val="20"/>
        </w:rPr>
        <w:t xml:space="preserve"> to be measured from the iWAS2 during SENEX 2013.</w:t>
      </w:r>
      <w:r w:rsidR="0081372B">
        <w:rPr>
          <w:sz w:val="20"/>
        </w:rPr>
        <w:t xml:space="preserve">  A total of 40-60 VOCs will be analyzed for each canister sample.  </w:t>
      </w:r>
      <w:r w:rsidR="00F9649F">
        <w:rPr>
          <w:sz w:val="20"/>
        </w:rPr>
        <w:t xml:space="preserve">Hydrocarbons and biogenic VOCs are priority compounds for analysis.  Alkyl nitrates and oxygenated VOCs will be analyzed and reported but with higher uncertainty until sampling artifacts are accounted for and calibrations </w:t>
      </w:r>
      <w:proofErr w:type="gramStart"/>
      <w:r w:rsidR="00F9649F">
        <w:rPr>
          <w:sz w:val="20"/>
        </w:rPr>
        <w:t>are</w:t>
      </w:r>
      <w:proofErr w:type="gramEnd"/>
      <w:r w:rsidR="00F9649F">
        <w:rPr>
          <w:sz w:val="20"/>
        </w:rPr>
        <w:t xml:space="preserve"> finalized post-SENEX.</w:t>
      </w:r>
    </w:p>
    <w:p w:rsidR="0081372B" w:rsidRDefault="0081372B" w:rsidP="0018478F">
      <w:pPr>
        <w:spacing w:after="0" w:line="240" w:lineRule="auto"/>
        <w:rPr>
          <w:b/>
          <w:sz w:val="20"/>
        </w:rPr>
      </w:pPr>
    </w:p>
    <w:p w:rsidR="008904EC" w:rsidRPr="00E207AF" w:rsidRDefault="008904EC" w:rsidP="0018478F">
      <w:pPr>
        <w:spacing w:after="0" w:line="240" w:lineRule="auto"/>
        <w:rPr>
          <w:i/>
          <w:sz w:val="20"/>
        </w:rPr>
      </w:pPr>
      <w:r w:rsidRPr="00E207AF">
        <w:rPr>
          <w:b/>
          <w:i/>
          <w:sz w:val="20"/>
        </w:rPr>
        <w:t>C2-C10 Alkanes</w:t>
      </w:r>
      <w:r w:rsidRPr="00E207AF">
        <w:rPr>
          <w:i/>
          <w:sz w:val="20"/>
        </w:rPr>
        <w:t xml:space="preserve">:  ethane, propane, </w:t>
      </w:r>
      <w:proofErr w:type="spellStart"/>
      <w:r w:rsidRPr="00E207AF">
        <w:rPr>
          <w:i/>
          <w:sz w:val="20"/>
        </w:rPr>
        <w:t>iso</w:t>
      </w:r>
      <w:proofErr w:type="spellEnd"/>
      <w:r w:rsidRPr="00E207AF">
        <w:rPr>
          <w:i/>
          <w:sz w:val="20"/>
        </w:rPr>
        <w:t xml:space="preserve">-butane, n-butane, </w:t>
      </w:r>
      <w:proofErr w:type="spellStart"/>
      <w:r w:rsidRPr="00E207AF">
        <w:rPr>
          <w:i/>
          <w:sz w:val="20"/>
        </w:rPr>
        <w:t>iso</w:t>
      </w:r>
      <w:proofErr w:type="spellEnd"/>
      <w:r w:rsidRPr="00E207AF">
        <w:rPr>
          <w:i/>
          <w:sz w:val="20"/>
        </w:rPr>
        <w:t xml:space="preserve">-pentane, n-pentane, hexane, </w:t>
      </w:r>
      <w:proofErr w:type="spellStart"/>
      <w:r w:rsidRPr="00E207AF">
        <w:rPr>
          <w:i/>
          <w:sz w:val="20"/>
        </w:rPr>
        <w:t>decane</w:t>
      </w:r>
      <w:proofErr w:type="spellEnd"/>
      <w:r w:rsidR="00F9649F">
        <w:rPr>
          <w:i/>
          <w:sz w:val="20"/>
        </w:rPr>
        <w:t>, etc.</w:t>
      </w:r>
    </w:p>
    <w:p w:rsidR="00157B50" w:rsidRDefault="008904EC" w:rsidP="0018478F">
      <w:pPr>
        <w:spacing w:after="0" w:line="240" w:lineRule="auto"/>
        <w:rPr>
          <w:i/>
          <w:sz w:val="20"/>
        </w:rPr>
      </w:pPr>
      <w:r w:rsidRPr="00E207AF">
        <w:rPr>
          <w:b/>
          <w:i/>
          <w:sz w:val="20"/>
        </w:rPr>
        <w:t>C2-C5 Alkenes</w:t>
      </w:r>
      <w:r w:rsidRPr="00E207AF">
        <w:rPr>
          <w:i/>
          <w:sz w:val="20"/>
        </w:rPr>
        <w:t xml:space="preserve">:  ethyne, ethene, propene, </w:t>
      </w:r>
      <w:proofErr w:type="spellStart"/>
      <w:r w:rsidRPr="00E207AF">
        <w:rPr>
          <w:i/>
          <w:sz w:val="20"/>
        </w:rPr>
        <w:t>butenes</w:t>
      </w:r>
      <w:proofErr w:type="spellEnd"/>
      <w:r w:rsidR="00EB4A9F">
        <w:rPr>
          <w:i/>
          <w:sz w:val="20"/>
        </w:rPr>
        <w:t xml:space="preserve">, </w:t>
      </w:r>
      <w:proofErr w:type="spellStart"/>
      <w:r w:rsidR="00EB4A9F">
        <w:rPr>
          <w:i/>
          <w:sz w:val="20"/>
        </w:rPr>
        <w:t>pentenes</w:t>
      </w:r>
      <w:proofErr w:type="spellEnd"/>
      <w:r w:rsidR="00F9649F">
        <w:rPr>
          <w:i/>
          <w:sz w:val="20"/>
        </w:rPr>
        <w:t>, etc.</w:t>
      </w:r>
    </w:p>
    <w:p w:rsidR="008904EC" w:rsidRPr="00E207AF" w:rsidRDefault="008904EC" w:rsidP="0018478F">
      <w:pPr>
        <w:spacing w:after="0" w:line="240" w:lineRule="auto"/>
        <w:rPr>
          <w:i/>
          <w:sz w:val="20"/>
        </w:rPr>
      </w:pPr>
      <w:r w:rsidRPr="00E207AF">
        <w:rPr>
          <w:b/>
          <w:i/>
          <w:sz w:val="20"/>
        </w:rPr>
        <w:t>Biogenic VOCs:</w:t>
      </w:r>
      <w:r w:rsidRPr="00E207AF">
        <w:rPr>
          <w:i/>
          <w:sz w:val="20"/>
        </w:rPr>
        <w:t xml:space="preserve">  isoprene, methyl vinyl ketone, methacrolein, and </w:t>
      </w:r>
      <w:proofErr w:type="spellStart"/>
      <w:r w:rsidRPr="00E207AF">
        <w:rPr>
          <w:i/>
          <w:sz w:val="20"/>
        </w:rPr>
        <w:t>speciated</w:t>
      </w:r>
      <w:proofErr w:type="spellEnd"/>
      <w:r w:rsidRPr="00E207AF">
        <w:rPr>
          <w:i/>
          <w:sz w:val="20"/>
        </w:rPr>
        <w:t xml:space="preserve"> </w:t>
      </w:r>
      <w:proofErr w:type="spellStart"/>
      <w:r w:rsidRPr="00E207AF">
        <w:rPr>
          <w:i/>
          <w:sz w:val="20"/>
        </w:rPr>
        <w:t>monoterpenes</w:t>
      </w:r>
      <w:proofErr w:type="spellEnd"/>
    </w:p>
    <w:p w:rsidR="008904EC" w:rsidRPr="00E207AF" w:rsidRDefault="008904EC" w:rsidP="0018478F">
      <w:pPr>
        <w:spacing w:after="0" w:line="240" w:lineRule="auto"/>
        <w:rPr>
          <w:i/>
          <w:sz w:val="20"/>
        </w:rPr>
      </w:pPr>
      <w:r w:rsidRPr="00E207AF">
        <w:rPr>
          <w:b/>
          <w:i/>
          <w:sz w:val="20"/>
        </w:rPr>
        <w:t xml:space="preserve">Aromatic VOCs:  </w:t>
      </w:r>
      <w:r w:rsidRPr="00E207AF">
        <w:rPr>
          <w:i/>
          <w:sz w:val="20"/>
        </w:rPr>
        <w:t>benzene, toluene, ethyl benzene, xylenes (</w:t>
      </w:r>
      <w:proofErr w:type="spellStart"/>
      <w:r w:rsidRPr="00E207AF">
        <w:rPr>
          <w:i/>
          <w:sz w:val="20"/>
        </w:rPr>
        <w:t>ortho</w:t>
      </w:r>
      <w:proofErr w:type="spellEnd"/>
      <w:r w:rsidRPr="00E207AF">
        <w:rPr>
          <w:i/>
          <w:sz w:val="20"/>
        </w:rPr>
        <w:t xml:space="preserve"> and sum of meta and </w:t>
      </w:r>
      <w:proofErr w:type="spellStart"/>
      <w:r w:rsidRPr="00E207AF">
        <w:rPr>
          <w:i/>
          <w:sz w:val="20"/>
        </w:rPr>
        <w:t>para</w:t>
      </w:r>
      <w:proofErr w:type="spellEnd"/>
      <w:r w:rsidRPr="00E207AF">
        <w:rPr>
          <w:i/>
          <w:sz w:val="20"/>
        </w:rPr>
        <w:t xml:space="preserve">), </w:t>
      </w:r>
      <w:proofErr w:type="spellStart"/>
      <w:r w:rsidRPr="00E207AF">
        <w:rPr>
          <w:i/>
          <w:sz w:val="20"/>
        </w:rPr>
        <w:t>speciated</w:t>
      </w:r>
      <w:proofErr w:type="spellEnd"/>
      <w:r w:rsidRPr="00E207AF">
        <w:rPr>
          <w:i/>
          <w:sz w:val="20"/>
        </w:rPr>
        <w:t xml:space="preserve"> C9</w:t>
      </w:r>
      <w:proofErr w:type="gramStart"/>
      <w:r w:rsidR="00F9649F">
        <w:rPr>
          <w:i/>
          <w:sz w:val="20"/>
        </w:rPr>
        <w:t>-</w:t>
      </w:r>
      <w:r w:rsidR="00EE4D86">
        <w:rPr>
          <w:i/>
          <w:sz w:val="20"/>
        </w:rPr>
        <w:t xml:space="preserve">  </w:t>
      </w:r>
      <w:r w:rsidRPr="00E207AF">
        <w:rPr>
          <w:i/>
          <w:sz w:val="20"/>
        </w:rPr>
        <w:t>aromatics</w:t>
      </w:r>
      <w:proofErr w:type="gramEnd"/>
      <w:r w:rsidRPr="00E207AF">
        <w:rPr>
          <w:i/>
          <w:sz w:val="20"/>
        </w:rPr>
        <w:t xml:space="preserve"> such as the </w:t>
      </w:r>
      <w:proofErr w:type="spellStart"/>
      <w:r w:rsidRPr="00E207AF">
        <w:rPr>
          <w:i/>
          <w:sz w:val="20"/>
        </w:rPr>
        <w:t>trimethyl</w:t>
      </w:r>
      <w:proofErr w:type="spellEnd"/>
      <w:r w:rsidRPr="00E207AF">
        <w:rPr>
          <w:i/>
          <w:sz w:val="20"/>
        </w:rPr>
        <w:t xml:space="preserve"> benzenes</w:t>
      </w:r>
    </w:p>
    <w:p w:rsidR="008904EC" w:rsidRPr="00E207AF" w:rsidRDefault="008904EC" w:rsidP="0018478F">
      <w:pPr>
        <w:spacing w:after="0" w:line="240" w:lineRule="auto"/>
        <w:rPr>
          <w:i/>
          <w:sz w:val="20"/>
        </w:rPr>
      </w:pPr>
    </w:p>
    <w:p w:rsidR="0081372B" w:rsidRPr="00E207AF" w:rsidRDefault="0081372B" w:rsidP="0018478F">
      <w:pPr>
        <w:spacing w:after="0" w:line="240" w:lineRule="auto"/>
        <w:rPr>
          <w:i/>
          <w:sz w:val="20"/>
        </w:rPr>
      </w:pPr>
      <w:r w:rsidRPr="00E207AF">
        <w:rPr>
          <w:b/>
          <w:i/>
          <w:sz w:val="20"/>
        </w:rPr>
        <w:t>Oxygenated VOCs</w:t>
      </w:r>
      <w:r w:rsidRPr="00E207AF">
        <w:rPr>
          <w:i/>
          <w:sz w:val="20"/>
        </w:rPr>
        <w:t xml:space="preserve">:  methanol, ethanol, </w:t>
      </w:r>
      <w:proofErr w:type="spellStart"/>
      <w:r w:rsidRPr="00E207AF">
        <w:rPr>
          <w:i/>
          <w:sz w:val="20"/>
        </w:rPr>
        <w:t>propanal</w:t>
      </w:r>
      <w:proofErr w:type="spellEnd"/>
      <w:r w:rsidRPr="00E207AF">
        <w:rPr>
          <w:i/>
          <w:sz w:val="20"/>
        </w:rPr>
        <w:t>, acetone, 2-butanone</w:t>
      </w:r>
    </w:p>
    <w:p w:rsidR="0081372B" w:rsidRPr="00E207AF" w:rsidRDefault="0081372B" w:rsidP="0018478F">
      <w:pPr>
        <w:spacing w:after="0" w:line="240" w:lineRule="auto"/>
        <w:rPr>
          <w:i/>
          <w:sz w:val="20"/>
        </w:rPr>
      </w:pPr>
      <w:r w:rsidRPr="00E207AF">
        <w:rPr>
          <w:b/>
          <w:i/>
          <w:sz w:val="20"/>
        </w:rPr>
        <w:t>Nitrogen VOCs</w:t>
      </w:r>
      <w:r w:rsidRPr="00E207AF">
        <w:rPr>
          <w:i/>
          <w:sz w:val="20"/>
        </w:rPr>
        <w:t>:  acetonitrile, alkyl nitrates</w:t>
      </w:r>
    </w:p>
    <w:p w:rsidR="00C71913" w:rsidRPr="00E207AF" w:rsidRDefault="00C71913" w:rsidP="0018478F">
      <w:pPr>
        <w:spacing w:after="0" w:line="240" w:lineRule="auto"/>
        <w:rPr>
          <w:i/>
          <w:sz w:val="20"/>
        </w:rPr>
      </w:pPr>
      <w:r w:rsidRPr="00E207AF">
        <w:rPr>
          <w:b/>
          <w:i/>
          <w:sz w:val="20"/>
        </w:rPr>
        <w:t>Halogen VOCs:</w:t>
      </w:r>
      <w:r w:rsidRPr="00E207AF">
        <w:rPr>
          <w:i/>
          <w:sz w:val="20"/>
        </w:rPr>
        <w:t xml:space="preserve">  CCl</w:t>
      </w:r>
      <w:r w:rsidRPr="00E207AF">
        <w:rPr>
          <w:i/>
          <w:sz w:val="20"/>
          <w:vertAlign w:val="subscript"/>
        </w:rPr>
        <w:t>4</w:t>
      </w:r>
      <w:r w:rsidRPr="00E207AF">
        <w:rPr>
          <w:i/>
          <w:sz w:val="20"/>
        </w:rPr>
        <w:t>, CF</w:t>
      </w:r>
      <w:r w:rsidRPr="00E207AF">
        <w:rPr>
          <w:i/>
          <w:sz w:val="20"/>
          <w:vertAlign w:val="subscript"/>
        </w:rPr>
        <w:t>2</w:t>
      </w:r>
      <w:r w:rsidRPr="00E207AF">
        <w:rPr>
          <w:i/>
          <w:sz w:val="20"/>
        </w:rPr>
        <w:t>Cl</w:t>
      </w:r>
      <w:r w:rsidRPr="00E207AF">
        <w:rPr>
          <w:i/>
          <w:sz w:val="20"/>
          <w:vertAlign w:val="subscript"/>
        </w:rPr>
        <w:t>2</w:t>
      </w:r>
      <w:r w:rsidRPr="00E207AF">
        <w:rPr>
          <w:i/>
          <w:sz w:val="20"/>
        </w:rPr>
        <w:t>, methyl chloride, methylene chloride, etc.</w:t>
      </w:r>
    </w:p>
    <w:p w:rsidR="00C0789C" w:rsidRDefault="00C0789C" w:rsidP="0081372B">
      <w:pPr>
        <w:spacing w:after="0" w:line="240" w:lineRule="auto"/>
        <w:rPr>
          <w:sz w:val="20"/>
        </w:rPr>
      </w:pPr>
    </w:p>
    <w:p w:rsidR="00E207AF" w:rsidRDefault="00E207AF" w:rsidP="0081372B">
      <w:pPr>
        <w:spacing w:after="0" w:line="240" w:lineRule="auto"/>
        <w:rPr>
          <w:sz w:val="20"/>
        </w:rPr>
      </w:pPr>
    </w:p>
    <w:p w:rsidR="000561F7" w:rsidRDefault="000561F7" w:rsidP="0081372B">
      <w:pPr>
        <w:spacing w:after="0" w:line="240" w:lineRule="auto"/>
        <w:rPr>
          <w:sz w:val="20"/>
        </w:rPr>
      </w:pPr>
    </w:p>
    <w:p w:rsidR="00E207AF" w:rsidRPr="00EB4A9F" w:rsidRDefault="00E207AF" w:rsidP="0081372B">
      <w:pPr>
        <w:spacing w:after="0" w:line="240" w:lineRule="auto"/>
        <w:rPr>
          <w:sz w:val="20"/>
          <w:szCs w:val="20"/>
        </w:rPr>
      </w:pPr>
      <w:r w:rsidRPr="00EB4A9F">
        <w:rPr>
          <w:sz w:val="20"/>
          <w:szCs w:val="20"/>
        </w:rPr>
        <w:t>References:</w:t>
      </w:r>
    </w:p>
    <w:p w:rsidR="00E207AF" w:rsidRPr="00EB4A9F" w:rsidRDefault="00E207AF" w:rsidP="0081372B">
      <w:pPr>
        <w:spacing w:after="0" w:line="240" w:lineRule="auto"/>
        <w:rPr>
          <w:sz w:val="20"/>
          <w:szCs w:val="20"/>
        </w:rPr>
      </w:pPr>
    </w:p>
    <w:p w:rsidR="000561F7" w:rsidRPr="00EB4A9F" w:rsidRDefault="000561F7" w:rsidP="00EB4A9F">
      <w:pPr>
        <w:spacing w:after="0" w:line="240" w:lineRule="auto"/>
        <w:rPr>
          <w:sz w:val="20"/>
          <w:szCs w:val="20"/>
        </w:rPr>
      </w:pPr>
      <w:r w:rsidRPr="00EB4A9F">
        <w:rPr>
          <w:rFonts w:cs="Arial"/>
          <w:sz w:val="20"/>
          <w:szCs w:val="20"/>
        </w:rPr>
        <w:t xml:space="preserve">Gilman, J. B.; Burkhart, J. F.; Lerner, B. M.; Williams, E. J.; </w:t>
      </w:r>
      <w:proofErr w:type="spellStart"/>
      <w:r w:rsidRPr="00EB4A9F">
        <w:rPr>
          <w:rFonts w:cs="Arial"/>
          <w:sz w:val="20"/>
          <w:szCs w:val="20"/>
        </w:rPr>
        <w:t>Kuster</w:t>
      </w:r>
      <w:proofErr w:type="spellEnd"/>
      <w:r w:rsidRPr="00EB4A9F">
        <w:rPr>
          <w:rFonts w:cs="Arial"/>
          <w:sz w:val="20"/>
          <w:szCs w:val="20"/>
        </w:rPr>
        <w:t xml:space="preserve">, W. C.; </w:t>
      </w:r>
      <w:proofErr w:type="spellStart"/>
      <w:r w:rsidRPr="00EB4A9F">
        <w:rPr>
          <w:rFonts w:cs="Arial"/>
          <w:sz w:val="20"/>
          <w:szCs w:val="20"/>
        </w:rPr>
        <w:t>Goldan</w:t>
      </w:r>
      <w:proofErr w:type="spellEnd"/>
      <w:r w:rsidRPr="00EB4A9F">
        <w:rPr>
          <w:rFonts w:cs="Arial"/>
          <w:sz w:val="20"/>
          <w:szCs w:val="20"/>
        </w:rPr>
        <w:t xml:space="preserve">, P. D.; Murphy, P. C.; </w:t>
      </w:r>
      <w:proofErr w:type="spellStart"/>
      <w:r w:rsidRPr="00EB4A9F">
        <w:rPr>
          <w:rFonts w:cs="Arial"/>
          <w:sz w:val="20"/>
          <w:szCs w:val="20"/>
        </w:rPr>
        <w:t>Warneke</w:t>
      </w:r>
      <w:proofErr w:type="spellEnd"/>
      <w:r w:rsidRPr="00EB4A9F">
        <w:rPr>
          <w:rFonts w:cs="Arial"/>
          <w:sz w:val="20"/>
          <w:szCs w:val="20"/>
        </w:rPr>
        <w:t xml:space="preserve">, C.; Fowler, C.; </w:t>
      </w:r>
      <w:proofErr w:type="spellStart"/>
      <w:r w:rsidRPr="00EB4A9F">
        <w:rPr>
          <w:rFonts w:cs="Arial"/>
          <w:sz w:val="20"/>
          <w:szCs w:val="20"/>
        </w:rPr>
        <w:t>Montzka</w:t>
      </w:r>
      <w:proofErr w:type="spellEnd"/>
      <w:r w:rsidRPr="00EB4A9F">
        <w:rPr>
          <w:rFonts w:cs="Arial"/>
          <w:sz w:val="20"/>
          <w:szCs w:val="20"/>
        </w:rPr>
        <w:t xml:space="preserve">, S. A.; Miller, B. R.; Miller, L.; </w:t>
      </w:r>
      <w:proofErr w:type="spellStart"/>
      <w:r w:rsidRPr="00EB4A9F">
        <w:rPr>
          <w:rFonts w:cs="Arial"/>
          <w:sz w:val="20"/>
          <w:szCs w:val="20"/>
        </w:rPr>
        <w:t>Oltmans</w:t>
      </w:r>
      <w:proofErr w:type="spellEnd"/>
      <w:r w:rsidRPr="00EB4A9F">
        <w:rPr>
          <w:rFonts w:cs="Arial"/>
          <w:sz w:val="20"/>
          <w:szCs w:val="20"/>
        </w:rPr>
        <w:t xml:space="preserve">, S. J.; Ryerson, T. B.; Cooper, O. R.; </w:t>
      </w:r>
      <w:proofErr w:type="spellStart"/>
      <w:r w:rsidRPr="00EB4A9F">
        <w:rPr>
          <w:rFonts w:cs="Arial"/>
          <w:sz w:val="20"/>
          <w:szCs w:val="20"/>
        </w:rPr>
        <w:t>Stohl</w:t>
      </w:r>
      <w:proofErr w:type="spellEnd"/>
      <w:r w:rsidRPr="00EB4A9F">
        <w:rPr>
          <w:rFonts w:cs="Arial"/>
          <w:sz w:val="20"/>
          <w:szCs w:val="20"/>
        </w:rPr>
        <w:t xml:space="preserve">, A.; de </w:t>
      </w:r>
      <w:proofErr w:type="spellStart"/>
      <w:r w:rsidRPr="00EB4A9F">
        <w:rPr>
          <w:rFonts w:cs="Arial"/>
          <w:sz w:val="20"/>
          <w:szCs w:val="20"/>
        </w:rPr>
        <w:t>Gouw</w:t>
      </w:r>
      <w:proofErr w:type="spellEnd"/>
      <w:r w:rsidRPr="00EB4A9F">
        <w:rPr>
          <w:rFonts w:cs="Arial"/>
          <w:sz w:val="20"/>
          <w:szCs w:val="20"/>
        </w:rPr>
        <w:t xml:space="preserve">, J. A., Ozone variability and halogen oxidation within the Arctic and sub-Arctic springtime boundary layer. </w:t>
      </w:r>
      <w:r w:rsidRPr="00EB4A9F">
        <w:rPr>
          <w:rFonts w:cs="Arial"/>
          <w:i/>
          <w:iCs/>
          <w:sz w:val="20"/>
          <w:szCs w:val="20"/>
        </w:rPr>
        <w:t xml:space="preserve">Atmospheric Chemistry and Physics </w:t>
      </w:r>
      <w:r w:rsidRPr="00EB4A9F">
        <w:rPr>
          <w:rFonts w:cs="Arial"/>
          <w:b/>
          <w:bCs/>
          <w:sz w:val="20"/>
          <w:szCs w:val="20"/>
        </w:rPr>
        <w:t>2010,</w:t>
      </w:r>
      <w:r w:rsidRPr="00EB4A9F">
        <w:rPr>
          <w:rFonts w:cs="Arial"/>
          <w:sz w:val="20"/>
          <w:szCs w:val="20"/>
        </w:rPr>
        <w:t xml:space="preserve"> </w:t>
      </w:r>
      <w:r w:rsidRPr="00EB4A9F">
        <w:rPr>
          <w:rFonts w:cs="Arial"/>
          <w:i/>
          <w:iCs/>
          <w:sz w:val="20"/>
          <w:szCs w:val="20"/>
        </w:rPr>
        <w:t>10</w:t>
      </w:r>
      <w:r w:rsidRPr="00EB4A9F">
        <w:rPr>
          <w:rFonts w:cs="Arial"/>
          <w:sz w:val="20"/>
          <w:szCs w:val="20"/>
        </w:rPr>
        <w:t xml:space="preserve"> (21), 10223-10236.</w:t>
      </w:r>
    </w:p>
    <w:p w:rsidR="00E207AF" w:rsidRPr="00EB4A9F" w:rsidRDefault="00E207AF" w:rsidP="00EB4A9F">
      <w:pPr>
        <w:spacing w:after="0" w:line="240" w:lineRule="auto"/>
        <w:rPr>
          <w:sz w:val="20"/>
          <w:szCs w:val="20"/>
        </w:rPr>
      </w:pPr>
    </w:p>
    <w:p w:rsidR="00C0789C" w:rsidRPr="00EB4A9F" w:rsidRDefault="00157B50" w:rsidP="00EB4A9F">
      <w:pPr>
        <w:spacing w:line="240" w:lineRule="auto"/>
        <w:rPr>
          <w:sz w:val="20"/>
          <w:szCs w:val="20"/>
        </w:rPr>
      </w:pPr>
      <w:r w:rsidRPr="00EB4A9F">
        <w:rPr>
          <w:sz w:val="20"/>
          <w:szCs w:val="20"/>
        </w:rPr>
        <w:t>D. R. Blake, T. W. Smith, Jr., T.-Y. Chen, W. J. Whipple, and F. S. Rowland</w:t>
      </w:r>
      <w:r w:rsidR="00557E8F" w:rsidRPr="00EB4A9F">
        <w:rPr>
          <w:sz w:val="20"/>
          <w:szCs w:val="20"/>
        </w:rPr>
        <w:t xml:space="preserve">, Effects of biomass burning on summertime </w:t>
      </w:r>
      <w:proofErr w:type="spellStart"/>
      <w:r w:rsidR="00557E8F" w:rsidRPr="00EB4A9F">
        <w:rPr>
          <w:sz w:val="20"/>
          <w:szCs w:val="20"/>
        </w:rPr>
        <w:t>nonmethane</w:t>
      </w:r>
      <w:proofErr w:type="spellEnd"/>
      <w:r w:rsidR="00557E8F" w:rsidRPr="00EB4A9F">
        <w:rPr>
          <w:sz w:val="20"/>
          <w:szCs w:val="20"/>
        </w:rPr>
        <w:t xml:space="preserve"> hydrocarbon concentrations in the Canadian wetlands, Journal of Geophysical Research</w:t>
      </w:r>
      <w:r w:rsidR="00EB4A9F" w:rsidRPr="00EB4A9F">
        <w:rPr>
          <w:sz w:val="20"/>
          <w:szCs w:val="20"/>
        </w:rPr>
        <w:t xml:space="preserve"> </w:t>
      </w:r>
      <w:r w:rsidR="00EB4A9F" w:rsidRPr="00EB4A9F">
        <w:rPr>
          <w:b/>
          <w:sz w:val="20"/>
          <w:szCs w:val="20"/>
        </w:rPr>
        <w:t>1994</w:t>
      </w:r>
      <w:r w:rsidR="00EB4A9F" w:rsidRPr="00EB4A9F">
        <w:rPr>
          <w:sz w:val="20"/>
          <w:szCs w:val="20"/>
        </w:rPr>
        <w:t xml:space="preserve"> </w:t>
      </w:r>
      <w:r w:rsidR="00557E8F" w:rsidRPr="00EB4A9F">
        <w:rPr>
          <w:sz w:val="20"/>
          <w:szCs w:val="20"/>
        </w:rPr>
        <w:t>(99</w:t>
      </w:r>
      <w:r w:rsidR="00EB4A9F">
        <w:rPr>
          <w:sz w:val="20"/>
          <w:szCs w:val="20"/>
        </w:rPr>
        <w:t>)</w:t>
      </w:r>
      <w:r w:rsidR="00557E8F" w:rsidRPr="00EB4A9F">
        <w:rPr>
          <w:sz w:val="20"/>
          <w:szCs w:val="20"/>
        </w:rPr>
        <w:t>, 1699-1719.</w:t>
      </w:r>
      <w:bookmarkStart w:id="0" w:name="_GoBack"/>
      <w:bookmarkEnd w:id="0"/>
    </w:p>
    <w:sectPr w:rsidR="00C0789C" w:rsidRPr="00EB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A68A8"/>
    <w:multiLevelType w:val="hybridMultilevel"/>
    <w:tmpl w:val="8D765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6F"/>
    <w:rsid w:val="000561F7"/>
    <w:rsid w:val="00157B50"/>
    <w:rsid w:val="0018478F"/>
    <w:rsid w:val="001A32F7"/>
    <w:rsid w:val="001A6106"/>
    <w:rsid w:val="001E3D4B"/>
    <w:rsid w:val="0026676C"/>
    <w:rsid w:val="00272E6F"/>
    <w:rsid w:val="002A74B4"/>
    <w:rsid w:val="00310600"/>
    <w:rsid w:val="0032347E"/>
    <w:rsid w:val="00403D4D"/>
    <w:rsid w:val="004406BD"/>
    <w:rsid w:val="004779A5"/>
    <w:rsid w:val="004D212B"/>
    <w:rsid w:val="00557E8F"/>
    <w:rsid w:val="005653D8"/>
    <w:rsid w:val="005A3EC3"/>
    <w:rsid w:val="005F1B7A"/>
    <w:rsid w:val="00750E41"/>
    <w:rsid w:val="007955CC"/>
    <w:rsid w:val="0081372B"/>
    <w:rsid w:val="00872B10"/>
    <w:rsid w:val="008904EC"/>
    <w:rsid w:val="00921BFE"/>
    <w:rsid w:val="009B6BAA"/>
    <w:rsid w:val="00B252F2"/>
    <w:rsid w:val="00BB347A"/>
    <w:rsid w:val="00BF7381"/>
    <w:rsid w:val="00C0789C"/>
    <w:rsid w:val="00C40169"/>
    <w:rsid w:val="00C549FC"/>
    <w:rsid w:val="00C5746F"/>
    <w:rsid w:val="00C71913"/>
    <w:rsid w:val="00E207AF"/>
    <w:rsid w:val="00E27F9C"/>
    <w:rsid w:val="00EB4A9F"/>
    <w:rsid w:val="00EE4D86"/>
    <w:rsid w:val="00F9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46F"/>
    <w:pPr>
      <w:ind w:left="720"/>
      <w:contextualSpacing/>
    </w:pPr>
  </w:style>
  <w:style w:type="paragraph" w:styleId="BalloonText">
    <w:name w:val="Balloon Text"/>
    <w:basedOn w:val="Normal"/>
    <w:link w:val="BalloonTextChar"/>
    <w:uiPriority w:val="99"/>
    <w:semiHidden/>
    <w:unhideWhenUsed/>
    <w:rsid w:val="00C0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9C"/>
    <w:rPr>
      <w:rFonts w:ascii="Tahoma" w:hAnsi="Tahoma" w:cs="Tahoma"/>
      <w:sz w:val="16"/>
      <w:szCs w:val="16"/>
    </w:rPr>
  </w:style>
  <w:style w:type="character" w:styleId="Hyperlink">
    <w:name w:val="Hyperlink"/>
    <w:basedOn w:val="DefaultParagraphFont"/>
    <w:uiPriority w:val="99"/>
    <w:unhideWhenUsed/>
    <w:rsid w:val="00C0789C"/>
    <w:rPr>
      <w:color w:val="0000FF" w:themeColor="hyperlink"/>
      <w:u w:val="single"/>
    </w:rPr>
  </w:style>
  <w:style w:type="table" w:styleId="TableGrid">
    <w:name w:val="Table Grid"/>
    <w:basedOn w:val="TableNormal"/>
    <w:uiPriority w:val="59"/>
    <w:rsid w:val="00403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46F"/>
    <w:pPr>
      <w:ind w:left="720"/>
      <w:contextualSpacing/>
    </w:pPr>
  </w:style>
  <w:style w:type="paragraph" w:styleId="BalloonText">
    <w:name w:val="Balloon Text"/>
    <w:basedOn w:val="Normal"/>
    <w:link w:val="BalloonTextChar"/>
    <w:uiPriority w:val="99"/>
    <w:semiHidden/>
    <w:unhideWhenUsed/>
    <w:rsid w:val="00C0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9C"/>
    <w:rPr>
      <w:rFonts w:ascii="Tahoma" w:hAnsi="Tahoma" w:cs="Tahoma"/>
      <w:sz w:val="16"/>
      <w:szCs w:val="16"/>
    </w:rPr>
  </w:style>
  <w:style w:type="character" w:styleId="Hyperlink">
    <w:name w:val="Hyperlink"/>
    <w:basedOn w:val="DefaultParagraphFont"/>
    <w:uiPriority w:val="99"/>
    <w:unhideWhenUsed/>
    <w:rsid w:val="00C0789C"/>
    <w:rPr>
      <w:color w:val="0000FF" w:themeColor="hyperlink"/>
      <w:u w:val="single"/>
    </w:rPr>
  </w:style>
  <w:style w:type="table" w:styleId="TableGrid">
    <w:name w:val="Table Grid"/>
    <w:basedOn w:val="TableNormal"/>
    <w:uiPriority w:val="59"/>
    <w:rsid w:val="00403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Brian.Lerner@noa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Gilman@noaa.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Gilman</dc:creator>
  <cp:lastModifiedBy>Jessica Gilman</cp:lastModifiedBy>
  <cp:revision>2</cp:revision>
  <dcterms:created xsi:type="dcterms:W3CDTF">2012-12-12T17:02:00Z</dcterms:created>
  <dcterms:modified xsi:type="dcterms:W3CDTF">2012-12-12T17:02:00Z</dcterms:modified>
</cp:coreProperties>
</file>