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5DEE7" w14:textId="77777777" w:rsidR="00437F6C" w:rsidRPr="00975CC5" w:rsidRDefault="00437F6C" w:rsidP="00437F6C">
      <w:pPr>
        <w:jc w:val="center"/>
        <w:rPr>
          <w:szCs w:val="24"/>
        </w:rPr>
      </w:pPr>
      <w:r w:rsidRPr="00975CC5">
        <w:rPr>
          <w:szCs w:val="24"/>
        </w:rPr>
        <w:t xml:space="preserve">Measurements of Black Carbon Aerosol </w:t>
      </w:r>
    </w:p>
    <w:p w14:paraId="2405149E" w14:textId="77777777" w:rsidR="00437F6C" w:rsidRPr="00975CC5" w:rsidRDefault="00283C03" w:rsidP="00437F6C">
      <w:pPr>
        <w:jc w:val="center"/>
        <w:rPr>
          <w:szCs w:val="24"/>
        </w:rPr>
      </w:pPr>
      <w:proofErr w:type="gramStart"/>
      <w:r w:rsidRPr="00975CC5">
        <w:rPr>
          <w:szCs w:val="24"/>
        </w:rPr>
        <w:t>in</w:t>
      </w:r>
      <w:proofErr w:type="gramEnd"/>
      <w:r w:rsidR="00437F6C" w:rsidRPr="00975CC5">
        <w:rPr>
          <w:szCs w:val="24"/>
        </w:rPr>
        <w:t xml:space="preserve"> </w:t>
      </w:r>
      <w:r w:rsidR="00975CC5" w:rsidRPr="00975CC5">
        <w:rPr>
          <w:szCs w:val="24"/>
        </w:rPr>
        <w:t>SENEX</w:t>
      </w:r>
    </w:p>
    <w:p w14:paraId="71F4BCEC" w14:textId="77777777" w:rsidR="00D106B4" w:rsidRPr="00975CC5" w:rsidRDefault="00D106B4" w:rsidP="00437F6C">
      <w:pPr>
        <w:jc w:val="center"/>
        <w:rPr>
          <w:szCs w:val="24"/>
        </w:rPr>
      </w:pPr>
    </w:p>
    <w:p w14:paraId="5500AD88" w14:textId="77777777" w:rsidR="00437F6C" w:rsidRPr="00975CC5" w:rsidRDefault="00437F6C" w:rsidP="000D1EE4">
      <w:pPr>
        <w:jc w:val="center"/>
        <w:rPr>
          <w:szCs w:val="24"/>
        </w:rPr>
      </w:pPr>
      <w:r w:rsidRPr="00975CC5">
        <w:rPr>
          <w:szCs w:val="24"/>
        </w:rPr>
        <w:t xml:space="preserve">Primary Investigator: Joshua P. Schwarz: </w:t>
      </w:r>
      <w:hyperlink r:id="rId5" w:history="1">
        <w:r w:rsidRPr="00975CC5">
          <w:rPr>
            <w:rStyle w:val="Hyperlink"/>
            <w:szCs w:val="24"/>
          </w:rPr>
          <w:t>joshua.p.schwarz@noaa.gov</w:t>
        </w:r>
      </w:hyperlink>
    </w:p>
    <w:p w14:paraId="160E27BB" w14:textId="77777777" w:rsidR="00437F6C" w:rsidRPr="00975CC5" w:rsidRDefault="00437F6C" w:rsidP="003828E3">
      <w:pPr>
        <w:jc w:val="center"/>
        <w:rPr>
          <w:szCs w:val="24"/>
        </w:rPr>
      </w:pPr>
      <w:r w:rsidRPr="00975CC5">
        <w:rPr>
          <w:szCs w:val="24"/>
        </w:rPr>
        <w:t xml:space="preserve">Co-Investigator: </w:t>
      </w:r>
      <w:r w:rsidR="000D1EE4" w:rsidRPr="00975CC5">
        <w:rPr>
          <w:szCs w:val="24"/>
        </w:rPr>
        <w:t xml:space="preserve">Milos </w:t>
      </w:r>
      <w:proofErr w:type="spellStart"/>
      <w:r w:rsidR="000D1EE4" w:rsidRPr="00975CC5">
        <w:rPr>
          <w:szCs w:val="24"/>
        </w:rPr>
        <w:t>Markovic</w:t>
      </w:r>
      <w:proofErr w:type="spellEnd"/>
      <w:r w:rsidR="000D1EE4" w:rsidRPr="00975CC5">
        <w:rPr>
          <w:szCs w:val="24"/>
        </w:rPr>
        <w:t>: milos.markovic@noaa.gov</w:t>
      </w:r>
    </w:p>
    <w:p w14:paraId="3816E4EF" w14:textId="77777777" w:rsidR="00437F6C" w:rsidRPr="00975CC5" w:rsidRDefault="00437F6C" w:rsidP="003828E3">
      <w:pPr>
        <w:jc w:val="center"/>
        <w:rPr>
          <w:szCs w:val="24"/>
        </w:rPr>
      </w:pPr>
      <w:r w:rsidRPr="00975CC5">
        <w:rPr>
          <w:szCs w:val="24"/>
        </w:rPr>
        <w:t>NOAA ESRL</w:t>
      </w:r>
    </w:p>
    <w:p w14:paraId="615980E9" w14:textId="77777777" w:rsidR="00437F6C" w:rsidRPr="00975CC5" w:rsidRDefault="00437F6C" w:rsidP="003828E3">
      <w:pPr>
        <w:jc w:val="center"/>
        <w:rPr>
          <w:szCs w:val="24"/>
        </w:rPr>
      </w:pPr>
      <w:r w:rsidRPr="00975CC5">
        <w:rPr>
          <w:szCs w:val="24"/>
        </w:rPr>
        <w:t>Chemical Sciences Division</w:t>
      </w:r>
    </w:p>
    <w:p w14:paraId="41B34D8D" w14:textId="77777777" w:rsidR="00437F6C" w:rsidRPr="00975CC5" w:rsidRDefault="00437F6C" w:rsidP="003828E3">
      <w:pPr>
        <w:jc w:val="center"/>
        <w:rPr>
          <w:szCs w:val="24"/>
        </w:rPr>
      </w:pPr>
    </w:p>
    <w:p w14:paraId="16B2EB13" w14:textId="77777777" w:rsidR="00437F6C" w:rsidRPr="00975CC5" w:rsidRDefault="00437F6C" w:rsidP="003828E3">
      <w:pPr>
        <w:jc w:val="center"/>
        <w:rPr>
          <w:szCs w:val="24"/>
        </w:rPr>
      </w:pPr>
    </w:p>
    <w:p w14:paraId="68F0EB00" w14:textId="4FCE7792" w:rsidR="00283C03" w:rsidRPr="00975CC5" w:rsidRDefault="00283C03" w:rsidP="00975CC5">
      <w:pPr>
        <w:spacing w:line="360" w:lineRule="auto"/>
        <w:rPr>
          <w:szCs w:val="24"/>
        </w:rPr>
      </w:pPr>
      <w:r w:rsidRPr="00975CC5">
        <w:rPr>
          <w:szCs w:val="24"/>
        </w:rPr>
        <w:t>Black carbon (BC) in the atmosphere plays an important role in global climate change, affecting climate radiative forcing directly through its absorption of solar radiation and indirectly by affecting cloud processes</w:t>
      </w:r>
      <w:r w:rsidR="000D1EE4" w:rsidRPr="00975CC5">
        <w:rPr>
          <w:szCs w:val="24"/>
        </w:rPr>
        <w:t xml:space="preserve"> and snow melt</w:t>
      </w:r>
      <w:r w:rsidRPr="00975CC5">
        <w:rPr>
          <w:szCs w:val="24"/>
        </w:rPr>
        <w:t>.</w:t>
      </w:r>
      <w:r w:rsidR="000D1EE4" w:rsidRPr="00975CC5">
        <w:rPr>
          <w:szCs w:val="24"/>
        </w:rPr>
        <w:t xml:space="preserve"> We use a customized </w:t>
      </w:r>
      <w:r w:rsidR="00437F6C" w:rsidRPr="00975CC5">
        <w:rPr>
          <w:szCs w:val="24"/>
        </w:rPr>
        <w:t>Single-Particle Soot Photometer (SP2</w:t>
      </w:r>
      <w:bookmarkStart w:id="0" w:name="_GoBack"/>
      <w:bookmarkEnd w:id="0"/>
      <w:r w:rsidR="00437F6C" w:rsidRPr="00975CC5">
        <w:rPr>
          <w:szCs w:val="24"/>
        </w:rPr>
        <w:t>)</w:t>
      </w:r>
      <w:r w:rsidR="000D1EE4" w:rsidRPr="00975CC5">
        <w:rPr>
          <w:szCs w:val="24"/>
        </w:rPr>
        <w:t xml:space="preserve"> to quantify atmospheric BC</w:t>
      </w:r>
      <w:r w:rsidRPr="00975CC5">
        <w:rPr>
          <w:szCs w:val="24"/>
        </w:rPr>
        <w:t xml:space="preserve">.  </w:t>
      </w:r>
    </w:p>
    <w:p w14:paraId="7D745A8E" w14:textId="77777777" w:rsidR="00283C03" w:rsidRPr="00975CC5" w:rsidRDefault="00283C03" w:rsidP="00975CC5">
      <w:pPr>
        <w:spacing w:line="360" w:lineRule="auto"/>
        <w:rPr>
          <w:szCs w:val="24"/>
        </w:rPr>
      </w:pPr>
    </w:p>
    <w:p w14:paraId="73C2E794" w14:textId="77777777" w:rsidR="00975CC5" w:rsidRDefault="00283C03" w:rsidP="00975CC5">
      <w:pPr>
        <w:spacing w:line="360" w:lineRule="auto"/>
        <w:rPr>
          <w:szCs w:val="24"/>
        </w:rPr>
      </w:pPr>
      <w:r w:rsidRPr="00975CC5">
        <w:rPr>
          <w:szCs w:val="24"/>
        </w:rPr>
        <w:t>The SP2</w:t>
      </w:r>
      <w:r w:rsidR="00437F6C" w:rsidRPr="00975CC5">
        <w:rPr>
          <w:szCs w:val="24"/>
        </w:rPr>
        <w:t xml:space="preserve"> is </w:t>
      </w:r>
      <w:proofErr w:type="gramStart"/>
      <w:r w:rsidR="00437F6C" w:rsidRPr="00975CC5">
        <w:rPr>
          <w:szCs w:val="24"/>
        </w:rPr>
        <w:t>a laser-induced incandescence instrument</w:t>
      </w:r>
      <w:proofErr w:type="gramEnd"/>
      <w:r w:rsidR="00437F6C" w:rsidRPr="00975CC5">
        <w:rPr>
          <w:szCs w:val="24"/>
        </w:rPr>
        <w:t xml:space="preserve"> </w:t>
      </w:r>
      <w:r w:rsidR="00FF7032">
        <w:rPr>
          <w:szCs w:val="24"/>
        </w:rPr>
        <w:t>that</w:t>
      </w:r>
      <w:r w:rsidR="00437F6C" w:rsidRPr="00975CC5">
        <w:rPr>
          <w:szCs w:val="24"/>
        </w:rPr>
        <w:t xml:space="preserve"> measur</w:t>
      </w:r>
      <w:r w:rsidR="00FF7032">
        <w:rPr>
          <w:szCs w:val="24"/>
        </w:rPr>
        <w:t>es</w:t>
      </w:r>
      <w:r w:rsidR="00437F6C" w:rsidRPr="00975CC5">
        <w:rPr>
          <w:szCs w:val="24"/>
        </w:rPr>
        <w:t xml:space="preserve"> the BC mass content of individual particles, and thus delivers detailed information not only about BC loadings, but also size distributions, even in exceptionally clean air</w:t>
      </w:r>
      <w:r w:rsidR="00975CC5">
        <w:rPr>
          <w:szCs w:val="24"/>
        </w:rPr>
        <w:t xml:space="preserve"> [</w:t>
      </w:r>
      <w:r w:rsidR="00975CC5">
        <w:rPr>
          <w:i/>
          <w:szCs w:val="24"/>
        </w:rPr>
        <w:t>Schwarz et al., 2010</w:t>
      </w:r>
      <w:r w:rsidR="00975CC5">
        <w:rPr>
          <w:szCs w:val="24"/>
        </w:rPr>
        <w:t>]</w:t>
      </w:r>
      <w:r w:rsidR="00437F6C" w:rsidRPr="00975CC5">
        <w:rPr>
          <w:szCs w:val="24"/>
        </w:rPr>
        <w:t>.  The instrument can also provide the optical size of individual particles containing BC, and identify the presence of coatings associated with the BC fraction (i.e. identify the BC’s mixing state)</w:t>
      </w:r>
      <w:r w:rsidR="00975CC5">
        <w:rPr>
          <w:szCs w:val="24"/>
        </w:rPr>
        <w:t xml:space="preserve"> [</w:t>
      </w:r>
      <w:r w:rsidR="00975CC5">
        <w:rPr>
          <w:i/>
          <w:szCs w:val="24"/>
        </w:rPr>
        <w:t>Schwarz et al, 2008</w:t>
      </w:r>
      <w:r w:rsidR="00975CC5">
        <w:rPr>
          <w:szCs w:val="24"/>
        </w:rPr>
        <w:t>]</w:t>
      </w:r>
      <w:r w:rsidR="00437F6C" w:rsidRPr="00975CC5">
        <w:rPr>
          <w:szCs w:val="24"/>
        </w:rPr>
        <w:t xml:space="preserve">. </w:t>
      </w:r>
    </w:p>
    <w:p w14:paraId="173B0B7C" w14:textId="77777777" w:rsidR="00437F6C" w:rsidRPr="00975CC5" w:rsidRDefault="00C236AF" w:rsidP="00975CC5">
      <w:pPr>
        <w:spacing w:line="360" w:lineRule="auto"/>
        <w:rPr>
          <w:szCs w:val="24"/>
        </w:rPr>
      </w:pPr>
      <w:r w:rsidRPr="00975CC5">
        <w:rPr>
          <w:noProof/>
          <w:szCs w:val="24"/>
        </w:rPr>
        <mc:AlternateContent>
          <mc:Choice Requires="wps">
            <w:drawing>
              <wp:anchor distT="0" distB="0" distL="114300" distR="114300" simplePos="0" relativeHeight="251664384" behindDoc="0" locked="0" layoutInCell="1" allowOverlap="1" wp14:anchorId="3FE7470A" wp14:editId="269D315D">
                <wp:simplePos x="0" y="0"/>
                <wp:positionH relativeFrom="column">
                  <wp:posOffset>3000375</wp:posOffset>
                </wp:positionH>
                <wp:positionV relativeFrom="paragraph">
                  <wp:posOffset>121285</wp:posOffset>
                </wp:positionV>
                <wp:extent cx="3200400" cy="2492375"/>
                <wp:effectExtent l="0" t="0" r="0" b="0"/>
                <wp:wrapTight wrapText="bothSides">
                  <wp:wrapPolygon edited="0">
                    <wp:start x="0" y="0"/>
                    <wp:lineTo x="0" y="21352"/>
                    <wp:lineTo x="21429" y="21352"/>
                    <wp:lineTo x="21429"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9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B7162" w14:textId="77777777" w:rsidR="00FF7032" w:rsidRDefault="00FF7032" w:rsidP="00437F6C">
                            <w:r>
                              <w:rPr>
                                <w:noProof/>
                              </w:rPr>
                              <w:pict w14:anchorId="32E85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5pt;height:2in">
                                  <v:imagedata r:id="rId6" o:title="20110125 sp2 idea schem"/>
                                </v:shape>
                              </w:pict>
                            </w:r>
                          </w:p>
                          <w:p w14:paraId="55B9AA12" w14:textId="77777777" w:rsidR="00FF7032" w:rsidRPr="000B3A63" w:rsidRDefault="00FF7032" w:rsidP="00437F6C">
                            <w:pPr>
                              <w:pStyle w:val="PlainText"/>
                              <w:rPr>
                                <w:rFonts w:ascii="Arial" w:hAnsi="Arial"/>
                                <w:sz w:val="18"/>
                              </w:rPr>
                            </w:pPr>
                            <w:r w:rsidRPr="000B3A63">
                              <w:rPr>
                                <w:rFonts w:ascii="Arial" w:hAnsi="Arial"/>
                                <w:b/>
                                <w:sz w:val="18"/>
                              </w:rPr>
                              <w:t xml:space="preserve">Figure </w:t>
                            </w:r>
                            <w:r>
                              <w:rPr>
                                <w:rFonts w:ascii="Arial" w:hAnsi="Arial"/>
                                <w:b/>
                                <w:sz w:val="18"/>
                              </w:rPr>
                              <w:t>3</w:t>
                            </w:r>
                            <w:r w:rsidRPr="000B3A63">
                              <w:rPr>
                                <w:rFonts w:ascii="Arial" w:hAnsi="Arial"/>
                                <w:b/>
                                <w:sz w:val="18"/>
                              </w:rPr>
                              <w:t>.</w:t>
                            </w:r>
                            <w:r w:rsidRPr="000B3A63">
                              <w:rPr>
                                <w:rFonts w:ascii="Arial" w:hAnsi="Arial"/>
                                <w:sz w:val="18"/>
                              </w:rPr>
                              <w:t xml:space="preserve">  </w:t>
                            </w:r>
                            <w:proofErr w:type="gramStart"/>
                            <w:r w:rsidRPr="000B3A63">
                              <w:rPr>
                                <w:rFonts w:ascii="Arial" w:hAnsi="Arial"/>
                                <w:sz w:val="18"/>
                              </w:rPr>
                              <w:t>Schematic diagram of the SP2 photometer showing the basic optics and laser-induced incandescence and scattering detectors.</w:t>
                            </w:r>
                            <w:proofErr w:type="gramEnd"/>
                            <w:r w:rsidRPr="000B3A63">
                              <w:rPr>
                                <w:rFonts w:ascii="Arial" w:hAnsi="Arial"/>
                                <w:sz w:val="18"/>
                              </w:rPr>
                              <w:t xml:space="preserve"> </w:t>
                            </w:r>
                          </w:p>
                          <w:p w14:paraId="4EBE5CEA" w14:textId="77777777" w:rsidR="00FF7032" w:rsidRDefault="00FF7032" w:rsidP="00437F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36.25pt;margin-top:9.55pt;width:252pt;height:19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" stroked="f">
                <v:textbox>
                  <w:txbxContent>
                    <w:p w:rsidR="003828E3" w:rsidRDefault="003828E3" w:rsidP="00437F6C">
                      <w:r>
                        <w:rPr>
                          <w:noProof/>
                        </w:rPr>
                        <w:pict>
                          <v:shape id="_x0000_i1035" type="#_x0000_t75" style="width:235pt;height:2in">
                            <v:imagedata r:id="rId9" o:title="20110125 sp2 idea schem"/>
                          </v:shape>
                        </w:pict>
                      </w:r>
                    </w:p>
                    <w:p w:rsidR="003828E3" w:rsidRPr="000B3A63" w:rsidRDefault="003828E3" w:rsidP="00437F6C">
                      <w:pPr>
                        <w:pStyle w:val="PlainText"/>
                        <w:rPr>
                          <w:rFonts w:ascii="Arial" w:hAnsi="Arial"/>
                          <w:sz w:val="18"/>
                        </w:rPr>
                      </w:pPr>
                      <w:r w:rsidRPr="000B3A63">
                        <w:rPr>
                          <w:rFonts w:ascii="Arial" w:hAnsi="Arial"/>
                          <w:b/>
                          <w:sz w:val="18"/>
                        </w:rPr>
                        <w:t xml:space="preserve">Figure </w:t>
                      </w:r>
                      <w:r>
                        <w:rPr>
                          <w:rFonts w:ascii="Arial" w:hAnsi="Arial"/>
                          <w:b/>
                          <w:sz w:val="18"/>
                        </w:rPr>
                        <w:t>3</w:t>
                      </w:r>
                      <w:r w:rsidRPr="000B3A63">
                        <w:rPr>
                          <w:rFonts w:ascii="Arial" w:hAnsi="Arial"/>
                          <w:b/>
                          <w:sz w:val="18"/>
                        </w:rPr>
                        <w:t>.</w:t>
                      </w:r>
                      <w:r w:rsidRPr="000B3A63">
                        <w:rPr>
                          <w:rFonts w:ascii="Arial" w:hAnsi="Arial"/>
                          <w:sz w:val="18"/>
                        </w:rPr>
                        <w:t xml:space="preserve">  </w:t>
                      </w:r>
                      <w:proofErr w:type="gramStart"/>
                      <w:r w:rsidRPr="000B3A63">
                        <w:rPr>
                          <w:rFonts w:ascii="Arial" w:hAnsi="Arial"/>
                          <w:sz w:val="18"/>
                        </w:rPr>
                        <w:t>Schematic diagram of the SP2 photometer showing the basic optics and laser-induced incandescence and scattering detectors.</w:t>
                      </w:r>
                      <w:proofErr w:type="gramEnd"/>
                      <w:r w:rsidRPr="000B3A63">
                        <w:rPr>
                          <w:rFonts w:ascii="Arial" w:hAnsi="Arial"/>
                          <w:sz w:val="18"/>
                        </w:rPr>
                        <w:t xml:space="preserve"> </w:t>
                      </w:r>
                    </w:p>
                    <w:p w:rsidR="003828E3" w:rsidRDefault="003828E3" w:rsidP="00437F6C"/>
                  </w:txbxContent>
                </v:textbox>
                <w10:wrap type="tight"/>
              </v:shape>
            </w:pict>
          </mc:Fallback>
        </mc:AlternateContent>
      </w:r>
    </w:p>
    <w:p w14:paraId="4F344B1E" w14:textId="77777777" w:rsidR="00437F6C" w:rsidRPr="00975CC5" w:rsidRDefault="00FF7032" w:rsidP="00975CC5">
      <w:pPr>
        <w:spacing w:line="360" w:lineRule="auto"/>
        <w:rPr>
          <w:i/>
          <w:szCs w:val="24"/>
        </w:rPr>
      </w:pPr>
      <w:r>
        <w:rPr>
          <w:szCs w:val="24"/>
        </w:rPr>
        <w:t xml:space="preserve">An </w:t>
      </w:r>
      <w:r w:rsidR="00437F6C" w:rsidRPr="00975CC5">
        <w:rPr>
          <w:szCs w:val="24"/>
        </w:rPr>
        <w:t>SP2</w:t>
      </w:r>
      <w:r w:rsidR="00283C03" w:rsidRPr="00975CC5">
        <w:rPr>
          <w:szCs w:val="24"/>
        </w:rPr>
        <w:t xml:space="preserve"> system</w:t>
      </w:r>
      <w:r w:rsidR="00437F6C" w:rsidRPr="00975CC5">
        <w:rPr>
          <w:szCs w:val="24"/>
        </w:rPr>
        <w:t xml:space="preserve"> is shown schematically </w:t>
      </w:r>
      <w:r w:rsidR="00283C03" w:rsidRPr="00975CC5">
        <w:rPr>
          <w:szCs w:val="24"/>
        </w:rPr>
        <w:t>to the right</w:t>
      </w:r>
      <w:r w:rsidR="00437F6C" w:rsidRPr="00975CC5">
        <w:rPr>
          <w:szCs w:val="24"/>
        </w:rPr>
        <w:t xml:space="preserve">.  Ambient air is drawn through an intense </w:t>
      </w:r>
      <w:proofErr w:type="spellStart"/>
      <w:r w:rsidR="00437F6C" w:rsidRPr="00975CC5">
        <w:rPr>
          <w:szCs w:val="24"/>
        </w:rPr>
        <w:t>intracavity</w:t>
      </w:r>
      <w:proofErr w:type="spellEnd"/>
      <w:r w:rsidR="00437F6C" w:rsidRPr="00975CC5">
        <w:rPr>
          <w:szCs w:val="24"/>
        </w:rPr>
        <w:t xml:space="preserve"> laser (a diode-pumped </w:t>
      </w:r>
      <w:proofErr w:type="spellStart"/>
      <w:r w:rsidR="00437F6C" w:rsidRPr="00975CC5">
        <w:rPr>
          <w:szCs w:val="24"/>
        </w:rPr>
        <w:t>Nd</w:t>
      </w:r>
      <w:proofErr w:type="gramStart"/>
      <w:r w:rsidR="00437F6C" w:rsidRPr="00975CC5">
        <w:rPr>
          <w:szCs w:val="24"/>
        </w:rPr>
        <w:t>:YAG</w:t>
      </w:r>
      <w:proofErr w:type="spellEnd"/>
      <w:proofErr w:type="gramEnd"/>
      <w:r w:rsidR="00437F6C" w:rsidRPr="00975CC5">
        <w:rPr>
          <w:szCs w:val="24"/>
        </w:rPr>
        <w:t xml:space="preserve"> laser operating in a Gaussian TEM-00 mode at 1.064 µm wavelength).  Aerosol particles in the air enter the laser singly, and there scatter laser light according to their size and composition.  The quantity of scattered light, and its evolution in </w:t>
      </w:r>
      <w:r w:rsidR="00283C03" w:rsidRPr="00975CC5">
        <w:rPr>
          <w:szCs w:val="24"/>
        </w:rPr>
        <w:t xml:space="preserve">time, is recorded. </w:t>
      </w:r>
      <w:r w:rsidR="00437F6C" w:rsidRPr="00975CC5">
        <w:rPr>
          <w:szCs w:val="24"/>
        </w:rPr>
        <w:t xml:space="preserve">When </w:t>
      </w:r>
      <w:r>
        <w:rPr>
          <w:szCs w:val="24"/>
        </w:rPr>
        <w:t xml:space="preserve">a </w:t>
      </w:r>
      <w:r w:rsidR="00437F6C" w:rsidRPr="00975CC5">
        <w:rPr>
          <w:szCs w:val="24"/>
        </w:rPr>
        <w:t>BC</w:t>
      </w:r>
      <w:r w:rsidR="00975CC5">
        <w:rPr>
          <w:szCs w:val="24"/>
        </w:rPr>
        <w:t>-containing particle</w:t>
      </w:r>
      <w:r w:rsidR="00437F6C" w:rsidRPr="00975CC5">
        <w:rPr>
          <w:szCs w:val="24"/>
        </w:rPr>
        <w:t xml:space="preserve"> enters the laser, it is heated to vaporization (~3500K), emitting blackbody radiation (incandescent light) in quantities directly related to its mass</w:t>
      </w:r>
      <w:r w:rsidR="00C236AF" w:rsidRPr="00975CC5">
        <w:rPr>
          <w:szCs w:val="24"/>
        </w:rPr>
        <w:t>, regardless of particle morphology or mixing state</w:t>
      </w:r>
      <w:r w:rsidR="00437F6C" w:rsidRPr="00975CC5">
        <w:rPr>
          <w:szCs w:val="24"/>
        </w:rPr>
        <w:t xml:space="preserve">. The color of this radiation is detected and used to deduce the vaporization temperature of the particle as </w:t>
      </w:r>
      <w:r w:rsidR="00C236AF" w:rsidRPr="00975CC5">
        <w:rPr>
          <w:szCs w:val="24"/>
        </w:rPr>
        <w:t xml:space="preserve">a constraint on its </w:t>
      </w:r>
      <w:r w:rsidR="00C236AF" w:rsidRPr="00975CC5">
        <w:rPr>
          <w:szCs w:val="24"/>
        </w:rPr>
        <w:lastRenderedPageBreak/>
        <w:t>composition</w:t>
      </w:r>
      <w:r w:rsidR="003828E3" w:rsidRPr="00975CC5">
        <w:rPr>
          <w:szCs w:val="24"/>
        </w:rPr>
        <w:t xml:space="preserve">. </w:t>
      </w:r>
      <w:r w:rsidR="00437F6C" w:rsidRPr="00975CC5">
        <w:rPr>
          <w:szCs w:val="24"/>
        </w:rPr>
        <w:t>A detector system developed by NOAA is used to optically size BC-containing particles</w:t>
      </w:r>
      <w:r w:rsidR="00283C03" w:rsidRPr="00975CC5">
        <w:rPr>
          <w:szCs w:val="24"/>
        </w:rPr>
        <w:t>,</w:t>
      </w:r>
      <w:r w:rsidR="00437F6C" w:rsidRPr="00975CC5">
        <w:rPr>
          <w:szCs w:val="24"/>
        </w:rPr>
        <w:t xml:space="preserve"> before they are perturbed by laser heating.  This allows quantification of the amount of non-BC material (interpreted as coating thickness via shell-core Mie theory) associated with each BC core, and its impact on the optical properties (including absorption cross-section) of the BC-component</w:t>
      </w:r>
      <w:r w:rsidR="00975CC5">
        <w:rPr>
          <w:szCs w:val="24"/>
        </w:rPr>
        <w:t>.</w:t>
      </w:r>
      <w:r w:rsidR="00437F6C" w:rsidRPr="00975CC5">
        <w:rPr>
          <w:szCs w:val="24"/>
        </w:rPr>
        <w:t xml:space="preserve"> </w:t>
      </w:r>
    </w:p>
    <w:p w14:paraId="2432AB25" w14:textId="77777777" w:rsidR="00437F6C" w:rsidRDefault="00437F6C" w:rsidP="00437F6C">
      <w:pPr>
        <w:spacing w:line="280" w:lineRule="exact"/>
        <w:ind w:firstLine="720"/>
        <w:rPr>
          <w:b/>
          <w:szCs w:val="24"/>
        </w:rPr>
      </w:pPr>
    </w:p>
    <w:p w14:paraId="46DC7DD6" w14:textId="77777777" w:rsidR="00592F0F" w:rsidRPr="00975CC5" w:rsidRDefault="00592F0F" w:rsidP="00437F6C">
      <w:pPr>
        <w:spacing w:line="280" w:lineRule="exact"/>
        <w:ind w:firstLine="720"/>
        <w:rPr>
          <w:b/>
          <w:szCs w:val="24"/>
        </w:rPr>
      </w:pPr>
    </w:p>
    <w:p w14:paraId="13D45AF4" w14:textId="77777777" w:rsidR="00437F6C" w:rsidRPr="00975CC5" w:rsidRDefault="00C236AF" w:rsidP="00592F0F">
      <w:pPr>
        <w:spacing w:line="280" w:lineRule="exact"/>
        <w:ind w:firstLine="720"/>
        <w:rPr>
          <w:szCs w:val="24"/>
        </w:rPr>
      </w:pPr>
      <w:r w:rsidRPr="00975CC5">
        <w:rPr>
          <w:szCs w:val="24"/>
        </w:rPr>
        <w:t xml:space="preserve">Table 1: </w:t>
      </w:r>
      <w:r w:rsidR="00437F6C" w:rsidRPr="00975CC5">
        <w:rPr>
          <w:szCs w:val="24"/>
        </w:rPr>
        <w:t xml:space="preserve">Performance characteristics of the </w:t>
      </w:r>
      <w:r w:rsidR="00592F0F">
        <w:rPr>
          <w:szCs w:val="24"/>
        </w:rPr>
        <w:t xml:space="preserve">NOAA </w:t>
      </w:r>
      <w:r w:rsidR="00437F6C" w:rsidRPr="00975CC5">
        <w:rPr>
          <w:szCs w:val="24"/>
        </w:rPr>
        <w:t>SP2.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5638"/>
      </w:tblGrid>
      <w:tr w:rsidR="00437F6C" w:rsidRPr="00975CC5" w14:paraId="668CEBBE" w14:textId="77777777" w:rsidTr="00437F6C">
        <w:tc>
          <w:tcPr>
            <w:tcW w:w="2790" w:type="dxa"/>
          </w:tcPr>
          <w:p w14:paraId="54B1FECF" w14:textId="77777777" w:rsidR="00437F6C" w:rsidRPr="00975CC5" w:rsidRDefault="00437F6C" w:rsidP="00437F6C">
            <w:pPr>
              <w:pStyle w:val="Heading1"/>
              <w:spacing w:before="20" w:after="20"/>
              <w:rPr>
                <w:sz w:val="24"/>
                <w:szCs w:val="24"/>
              </w:rPr>
            </w:pPr>
            <w:r w:rsidRPr="00975CC5">
              <w:rPr>
                <w:sz w:val="24"/>
                <w:szCs w:val="24"/>
              </w:rPr>
              <w:t>Operational altitude</w:t>
            </w:r>
          </w:p>
        </w:tc>
        <w:tc>
          <w:tcPr>
            <w:tcW w:w="5760" w:type="dxa"/>
          </w:tcPr>
          <w:p w14:paraId="4B891F91" w14:textId="77777777" w:rsidR="00437F6C" w:rsidRPr="00975CC5" w:rsidRDefault="00437F6C" w:rsidP="00437F6C">
            <w:pPr>
              <w:spacing w:before="20" w:after="20"/>
              <w:rPr>
                <w:szCs w:val="24"/>
              </w:rPr>
            </w:pPr>
            <w:r w:rsidRPr="00975CC5">
              <w:rPr>
                <w:szCs w:val="24"/>
              </w:rPr>
              <w:t xml:space="preserve">Ground - 21 km (1013 </w:t>
            </w:r>
            <w:proofErr w:type="spellStart"/>
            <w:r w:rsidRPr="00975CC5">
              <w:rPr>
                <w:szCs w:val="24"/>
              </w:rPr>
              <w:t>hPa</w:t>
            </w:r>
            <w:proofErr w:type="spellEnd"/>
            <w:r w:rsidRPr="00975CC5">
              <w:rPr>
                <w:szCs w:val="24"/>
              </w:rPr>
              <w:t xml:space="preserve"> – 50 </w:t>
            </w:r>
            <w:proofErr w:type="spellStart"/>
            <w:r w:rsidRPr="00975CC5">
              <w:rPr>
                <w:szCs w:val="24"/>
              </w:rPr>
              <w:t>hPa</w:t>
            </w:r>
            <w:proofErr w:type="spellEnd"/>
            <w:r w:rsidRPr="00975CC5">
              <w:rPr>
                <w:szCs w:val="24"/>
              </w:rPr>
              <w:t>)</w:t>
            </w:r>
          </w:p>
        </w:tc>
      </w:tr>
      <w:tr w:rsidR="00437F6C" w:rsidRPr="00975CC5" w14:paraId="2B9527ED" w14:textId="77777777" w:rsidTr="00437F6C">
        <w:tc>
          <w:tcPr>
            <w:tcW w:w="2790" w:type="dxa"/>
          </w:tcPr>
          <w:p w14:paraId="473CD1B5" w14:textId="77777777" w:rsidR="00437F6C" w:rsidRPr="00975CC5" w:rsidRDefault="00437F6C" w:rsidP="00437F6C">
            <w:pPr>
              <w:spacing w:before="20" w:after="20"/>
              <w:rPr>
                <w:b/>
                <w:szCs w:val="24"/>
              </w:rPr>
            </w:pPr>
            <w:r w:rsidRPr="00975CC5">
              <w:rPr>
                <w:b/>
                <w:szCs w:val="24"/>
              </w:rPr>
              <w:t>Flight duration</w:t>
            </w:r>
          </w:p>
        </w:tc>
        <w:tc>
          <w:tcPr>
            <w:tcW w:w="5760" w:type="dxa"/>
          </w:tcPr>
          <w:p w14:paraId="0345E5FF" w14:textId="77777777" w:rsidR="00437F6C" w:rsidRPr="00975CC5" w:rsidRDefault="000D1EE4" w:rsidP="00437F6C">
            <w:pPr>
              <w:spacing w:before="20" w:after="20"/>
              <w:rPr>
                <w:szCs w:val="24"/>
              </w:rPr>
            </w:pPr>
            <w:r w:rsidRPr="00975CC5">
              <w:rPr>
                <w:szCs w:val="24"/>
              </w:rPr>
              <w:t>&lt;</w:t>
            </w:r>
            <w:r w:rsidR="00437F6C" w:rsidRPr="00975CC5">
              <w:rPr>
                <w:szCs w:val="24"/>
              </w:rPr>
              <w:t>12 hours</w:t>
            </w:r>
          </w:p>
        </w:tc>
      </w:tr>
      <w:tr w:rsidR="00437F6C" w:rsidRPr="00975CC5" w14:paraId="19987624" w14:textId="77777777" w:rsidTr="00437F6C">
        <w:tc>
          <w:tcPr>
            <w:tcW w:w="2790" w:type="dxa"/>
          </w:tcPr>
          <w:p w14:paraId="14298319" w14:textId="77777777" w:rsidR="00437F6C" w:rsidRPr="00975CC5" w:rsidRDefault="00437F6C" w:rsidP="00437F6C">
            <w:pPr>
              <w:spacing w:before="20" w:after="20"/>
              <w:rPr>
                <w:b/>
                <w:szCs w:val="24"/>
              </w:rPr>
            </w:pPr>
            <w:r w:rsidRPr="00975CC5">
              <w:rPr>
                <w:b/>
                <w:szCs w:val="24"/>
              </w:rPr>
              <w:t>Weight</w:t>
            </w:r>
          </w:p>
        </w:tc>
        <w:tc>
          <w:tcPr>
            <w:tcW w:w="5760" w:type="dxa"/>
          </w:tcPr>
          <w:p w14:paraId="179711F4" w14:textId="77777777" w:rsidR="00437F6C" w:rsidRPr="00975CC5" w:rsidRDefault="000D1EE4" w:rsidP="000D1EE4">
            <w:pPr>
              <w:spacing w:before="20" w:after="20"/>
              <w:rPr>
                <w:szCs w:val="24"/>
              </w:rPr>
            </w:pPr>
            <w:r w:rsidRPr="00975CC5">
              <w:rPr>
                <w:szCs w:val="24"/>
              </w:rPr>
              <w:t>135</w:t>
            </w:r>
            <w:r w:rsidR="00437F6C" w:rsidRPr="00975CC5">
              <w:rPr>
                <w:szCs w:val="24"/>
              </w:rPr>
              <w:t xml:space="preserve"> </w:t>
            </w:r>
            <w:proofErr w:type="spellStart"/>
            <w:r w:rsidR="00437F6C" w:rsidRPr="00975CC5">
              <w:rPr>
                <w:szCs w:val="24"/>
              </w:rPr>
              <w:t>lbs</w:t>
            </w:r>
            <w:proofErr w:type="spellEnd"/>
            <w:r w:rsidR="00437F6C" w:rsidRPr="00975CC5">
              <w:rPr>
                <w:szCs w:val="24"/>
              </w:rPr>
              <w:t xml:space="preserve"> </w:t>
            </w:r>
          </w:p>
        </w:tc>
      </w:tr>
      <w:tr w:rsidR="00437F6C" w:rsidRPr="00975CC5" w14:paraId="1A2417EA" w14:textId="77777777" w:rsidTr="00437F6C">
        <w:tc>
          <w:tcPr>
            <w:tcW w:w="2790" w:type="dxa"/>
          </w:tcPr>
          <w:p w14:paraId="08F8F4E9" w14:textId="77777777" w:rsidR="00437F6C" w:rsidRPr="00975CC5" w:rsidRDefault="00437F6C" w:rsidP="00437F6C">
            <w:pPr>
              <w:spacing w:before="20" w:after="20"/>
              <w:rPr>
                <w:b/>
                <w:szCs w:val="24"/>
              </w:rPr>
            </w:pPr>
            <w:r w:rsidRPr="00975CC5">
              <w:rPr>
                <w:b/>
                <w:szCs w:val="24"/>
              </w:rPr>
              <w:t>BC Aerosol data products</w:t>
            </w:r>
          </w:p>
        </w:tc>
        <w:tc>
          <w:tcPr>
            <w:tcW w:w="5760" w:type="dxa"/>
          </w:tcPr>
          <w:p w14:paraId="51D83A1A" w14:textId="77777777" w:rsidR="00437F6C" w:rsidRPr="00975CC5" w:rsidRDefault="00437F6C" w:rsidP="00437F6C">
            <w:pPr>
              <w:rPr>
                <w:szCs w:val="24"/>
              </w:rPr>
            </w:pPr>
            <w:r w:rsidRPr="00975CC5">
              <w:rPr>
                <w:szCs w:val="24"/>
              </w:rPr>
              <w:t>1. Black carbon mass and size distributions</w:t>
            </w:r>
          </w:p>
          <w:p w14:paraId="6F39DEC5" w14:textId="77777777" w:rsidR="00437F6C" w:rsidRPr="00975CC5" w:rsidRDefault="00437F6C" w:rsidP="000D1EE4">
            <w:pPr>
              <w:rPr>
                <w:szCs w:val="24"/>
              </w:rPr>
            </w:pPr>
            <w:r w:rsidRPr="00975CC5">
              <w:rPr>
                <w:szCs w:val="24"/>
              </w:rPr>
              <w:t>2. Black carbon mixing state</w:t>
            </w:r>
            <w:r w:rsidRPr="00975CC5">
              <w:rPr>
                <w:b/>
                <w:i/>
                <w:szCs w:val="24"/>
                <w:vertAlign w:val="superscript"/>
              </w:rPr>
              <w:t xml:space="preserve"> </w:t>
            </w:r>
          </w:p>
        </w:tc>
      </w:tr>
      <w:tr w:rsidR="00437F6C" w:rsidRPr="00975CC5" w14:paraId="5D00CCA5" w14:textId="77777777" w:rsidTr="00437F6C">
        <w:tc>
          <w:tcPr>
            <w:tcW w:w="2790" w:type="dxa"/>
          </w:tcPr>
          <w:p w14:paraId="75B638A8" w14:textId="77777777" w:rsidR="00437F6C" w:rsidRPr="00975CC5" w:rsidRDefault="00437F6C" w:rsidP="00437F6C">
            <w:pPr>
              <w:spacing w:before="20" w:after="20"/>
              <w:rPr>
                <w:b/>
                <w:szCs w:val="24"/>
              </w:rPr>
            </w:pPr>
            <w:r w:rsidRPr="00975CC5">
              <w:rPr>
                <w:b/>
                <w:szCs w:val="24"/>
              </w:rPr>
              <w:t>Maximum particle event rate</w:t>
            </w:r>
          </w:p>
        </w:tc>
        <w:tc>
          <w:tcPr>
            <w:tcW w:w="5760" w:type="dxa"/>
          </w:tcPr>
          <w:p w14:paraId="6AA87E43" w14:textId="77777777" w:rsidR="00437F6C" w:rsidRPr="00975CC5" w:rsidRDefault="00437F6C" w:rsidP="00437F6C">
            <w:pPr>
              <w:spacing w:before="20" w:after="20"/>
              <w:rPr>
                <w:szCs w:val="24"/>
              </w:rPr>
            </w:pPr>
            <w:r w:rsidRPr="00975CC5">
              <w:rPr>
                <w:szCs w:val="24"/>
              </w:rPr>
              <w:t>20,000 s</w:t>
            </w:r>
            <w:r w:rsidRPr="00975CC5">
              <w:rPr>
                <w:position w:val="4"/>
                <w:szCs w:val="24"/>
              </w:rPr>
              <w:t>-1</w:t>
            </w:r>
          </w:p>
        </w:tc>
      </w:tr>
      <w:tr w:rsidR="00437F6C" w:rsidRPr="00975CC5" w14:paraId="052E9BC7" w14:textId="77777777" w:rsidTr="00437F6C">
        <w:tc>
          <w:tcPr>
            <w:tcW w:w="2790" w:type="dxa"/>
          </w:tcPr>
          <w:p w14:paraId="02B7BCE6" w14:textId="77777777" w:rsidR="00437F6C" w:rsidRPr="00975CC5" w:rsidRDefault="00437F6C" w:rsidP="00437F6C">
            <w:pPr>
              <w:spacing w:before="20" w:after="20"/>
              <w:rPr>
                <w:b/>
                <w:szCs w:val="24"/>
              </w:rPr>
            </w:pPr>
            <w:r w:rsidRPr="00975CC5">
              <w:rPr>
                <w:b/>
                <w:szCs w:val="24"/>
              </w:rPr>
              <w:t>BC mass detection range</w:t>
            </w:r>
          </w:p>
        </w:tc>
        <w:tc>
          <w:tcPr>
            <w:tcW w:w="5760" w:type="dxa"/>
          </w:tcPr>
          <w:p w14:paraId="5DD666B2" w14:textId="77777777" w:rsidR="00437F6C" w:rsidRPr="00975CC5" w:rsidRDefault="00437F6C" w:rsidP="00437F6C">
            <w:pPr>
              <w:spacing w:before="20" w:after="20"/>
              <w:rPr>
                <w:szCs w:val="24"/>
              </w:rPr>
            </w:pPr>
            <w:r w:rsidRPr="00975CC5">
              <w:rPr>
                <w:szCs w:val="24"/>
              </w:rPr>
              <w:t xml:space="preserve">0.5 – </w:t>
            </w:r>
            <w:r w:rsidR="000D1EE4" w:rsidRPr="00975CC5">
              <w:rPr>
                <w:szCs w:val="24"/>
              </w:rPr>
              <w:t>35</w:t>
            </w:r>
            <w:r w:rsidRPr="00975CC5">
              <w:rPr>
                <w:szCs w:val="24"/>
              </w:rPr>
              <w:t xml:space="preserve">0 fg (corresponding to </w:t>
            </w:r>
            <w:r w:rsidR="000D1EE4" w:rsidRPr="00975CC5">
              <w:rPr>
                <w:szCs w:val="24"/>
              </w:rPr>
              <w:t>~</w:t>
            </w:r>
            <w:r w:rsidRPr="00975CC5">
              <w:rPr>
                <w:szCs w:val="24"/>
              </w:rPr>
              <w:t>0.08 – 0.</w:t>
            </w:r>
            <w:r w:rsidR="000D1EE4" w:rsidRPr="00975CC5">
              <w:rPr>
                <w:szCs w:val="24"/>
              </w:rPr>
              <w:t>6</w:t>
            </w:r>
            <w:r w:rsidRPr="00975CC5">
              <w:rPr>
                <w:szCs w:val="24"/>
              </w:rPr>
              <w:t xml:space="preserve"> µm mass-equivalent diameter assuming a 2 g/cc density)</w:t>
            </w:r>
          </w:p>
        </w:tc>
      </w:tr>
    </w:tbl>
    <w:p w14:paraId="681AD4FE" w14:textId="77777777" w:rsidR="00560D9D" w:rsidRDefault="00560D9D">
      <w:pPr>
        <w:rPr>
          <w:szCs w:val="24"/>
        </w:rPr>
      </w:pPr>
    </w:p>
    <w:p w14:paraId="6869FAD9" w14:textId="77777777" w:rsidR="00975CC5" w:rsidRDefault="00975CC5">
      <w:pPr>
        <w:rPr>
          <w:szCs w:val="24"/>
        </w:rPr>
      </w:pPr>
    </w:p>
    <w:p w14:paraId="44C94A39" w14:textId="77777777" w:rsidR="00592F0F" w:rsidRDefault="00592F0F">
      <w:pPr>
        <w:rPr>
          <w:szCs w:val="24"/>
        </w:rPr>
      </w:pPr>
    </w:p>
    <w:p w14:paraId="79313C0E" w14:textId="77777777" w:rsidR="00975CC5" w:rsidRDefault="00975CC5">
      <w:pPr>
        <w:rPr>
          <w:szCs w:val="24"/>
        </w:rPr>
      </w:pPr>
      <w:r>
        <w:rPr>
          <w:szCs w:val="24"/>
        </w:rPr>
        <w:t>References:</w:t>
      </w:r>
    </w:p>
    <w:p w14:paraId="70D9CCA2" w14:textId="77777777" w:rsidR="00975CC5" w:rsidRDefault="00975CC5" w:rsidP="00975CC5">
      <w:pPr>
        <w:widowControl w:val="0"/>
        <w:autoSpaceDE w:val="0"/>
        <w:autoSpaceDN w:val="0"/>
        <w:adjustRightInd w:val="0"/>
        <w:rPr>
          <w:rFonts w:cs="Helvetica"/>
          <w:sz w:val="22"/>
          <w:szCs w:val="32"/>
        </w:rPr>
      </w:pPr>
    </w:p>
    <w:p w14:paraId="6E8C6440" w14:textId="77777777" w:rsidR="00975CC5" w:rsidRDefault="00975CC5" w:rsidP="00975CC5">
      <w:pPr>
        <w:widowControl w:val="0"/>
        <w:autoSpaceDE w:val="0"/>
        <w:autoSpaceDN w:val="0"/>
        <w:adjustRightInd w:val="0"/>
        <w:rPr>
          <w:rFonts w:cs="Helvetica"/>
          <w:sz w:val="22"/>
          <w:szCs w:val="32"/>
        </w:rPr>
      </w:pPr>
      <w:r w:rsidRPr="00975CC5">
        <w:rPr>
          <w:rFonts w:cs="Helvetica"/>
          <w:sz w:val="22"/>
          <w:szCs w:val="32"/>
        </w:rPr>
        <w:t>J. P. Schwarz</w:t>
      </w:r>
      <w:r w:rsidRPr="00EA24C5">
        <w:rPr>
          <w:rFonts w:cs="Helvetica"/>
          <w:sz w:val="22"/>
          <w:szCs w:val="32"/>
        </w:rPr>
        <w:t xml:space="preserve">, J. R. </w:t>
      </w:r>
      <w:proofErr w:type="spellStart"/>
      <w:r w:rsidRPr="00EA24C5">
        <w:rPr>
          <w:rFonts w:cs="Helvetica"/>
          <w:sz w:val="22"/>
          <w:szCs w:val="32"/>
        </w:rPr>
        <w:t>Spackman</w:t>
      </w:r>
      <w:proofErr w:type="spellEnd"/>
      <w:r w:rsidRPr="00EA24C5">
        <w:rPr>
          <w:rFonts w:cs="Helvetica"/>
          <w:sz w:val="22"/>
          <w:szCs w:val="32"/>
        </w:rPr>
        <w:t xml:space="preserve">, R. S. </w:t>
      </w:r>
      <w:proofErr w:type="spellStart"/>
      <w:r w:rsidRPr="00EA24C5">
        <w:rPr>
          <w:rFonts w:cs="Helvetica"/>
          <w:sz w:val="22"/>
          <w:szCs w:val="32"/>
        </w:rPr>
        <w:t>Gao</w:t>
      </w:r>
      <w:proofErr w:type="spellEnd"/>
      <w:r w:rsidRPr="00EA24C5">
        <w:rPr>
          <w:rFonts w:cs="Helvetica"/>
          <w:sz w:val="22"/>
          <w:szCs w:val="32"/>
        </w:rPr>
        <w:t xml:space="preserve">, L. A. Watts, P. </w:t>
      </w:r>
      <w:proofErr w:type="spellStart"/>
      <w:r w:rsidRPr="00EA24C5">
        <w:rPr>
          <w:rFonts w:cs="Helvetica"/>
          <w:sz w:val="22"/>
          <w:szCs w:val="32"/>
        </w:rPr>
        <w:t>Stier</w:t>
      </w:r>
      <w:proofErr w:type="spellEnd"/>
      <w:r w:rsidRPr="00EA24C5">
        <w:rPr>
          <w:rFonts w:cs="Helvetica"/>
          <w:sz w:val="22"/>
          <w:szCs w:val="32"/>
        </w:rPr>
        <w:t>, M. Schulz, S. M. Davi</w:t>
      </w:r>
      <w:r>
        <w:rPr>
          <w:rFonts w:cs="Helvetica"/>
          <w:sz w:val="22"/>
          <w:szCs w:val="32"/>
        </w:rPr>
        <w:t xml:space="preserve">s, S. C. </w:t>
      </w:r>
      <w:proofErr w:type="spellStart"/>
      <w:r>
        <w:rPr>
          <w:rFonts w:cs="Helvetica"/>
          <w:sz w:val="22"/>
          <w:szCs w:val="32"/>
        </w:rPr>
        <w:t>Wofsy</w:t>
      </w:r>
      <w:proofErr w:type="spellEnd"/>
      <w:r>
        <w:rPr>
          <w:rFonts w:cs="Helvetica"/>
          <w:sz w:val="22"/>
          <w:szCs w:val="32"/>
        </w:rPr>
        <w:t>, and D. W. Fahey</w:t>
      </w:r>
      <w:r w:rsidRPr="00EA24C5">
        <w:rPr>
          <w:rFonts w:cs="Helvetica"/>
          <w:sz w:val="22"/>
          <w:szCs w:val="32"/>
        </w:rPr>
        <w:t xml:space="preserve">, Global-scale black carbon profiles observed in the remote atmosphere and compared to models, </w:t>
      </w:r>
      <w:proofErr w:type="spellStart"/>
      <w:r w:rsidRPr="00EA24C5">
        <w:rPr>
          <w:rFonts w:cs="Helvetica"/>
          <w:sz w:val="22"/>
          <w:szCs w:val="32"/>
        </w:rPr>
        <w:t>Geophys</w:t>
      </w:r>
      <w:proofErr w:type="spellEnd"/>
      <w:r w:rsidRPr="00EA24C5">
        <w:rPr>
          <w:rFonts w:cs="Helvetica"/>
          <w:sz w:val="22"/>
          <w:szCs w:val="32"/>
        </w:rPr>
        <w:t xml:space="preserve">. Res. </w:t>
      </w:r>
      <w:proofErr w:type="spellStart"/>
      <w:r w:rsidRPr="00EA24C5">
        <w:rPr>
          <w:rFonts w:cs="Helvetica"/>
          <w:sz w:val="22"/>
          <w:szCs w:val="32"/>
        </w:rPr>
        <w:t>Lett</w:t>
      </w:r>
      <w:proofErr w:type="spellEnd"/>
      <w:proofErr w:type="gramStart"/>
      <w:r w:rsidRPr="00EA24C5">
        <w:rPr>
          <w:rFonts w:cs="Helvetica"/>
          <w:sz w:val="22"/>
          <w:szCs w:val="32"/>
        </w:rPr>
        <w:t>.,</w:t>
      </w:r>
      <w:proofErr w:type="gramEnd"/>
      <w:r w:rsidRPr="00EA24C5">
        <w:rPr>
          <w:rFonts w:cs="Helvetica"/>
          <w:sz w:val="22"/>
          <w:szCs w:val="32"/>
        </w:rPr>
        <w:t xml:space="preserve"> 37, L18812, doi:10.1029/2010GL044372</w:t>
      </w:r>
      <w:r>
        <w:rPr>
          <w:rFonts w:cs="Helvetica"/>
          <w:sz w:val="22"/>
          <w:szCs w:val="32"/>
        </w:rPr>
        <w:t>, 2010</w:t>
      </w:r>
      <w:r w:rsidRPr="00EA24C5">
        <w:rPr>
          <w:rFonts w:cs="Helvetica"/>
          <w:sz w:val="22"/>
          <w:szCs w:val="32"/>
        </w:rPr>
        <w:t>.</w:t>
      </w:r>
    </w:p>
    <w:p w14:paraId="1AEEDFC4" w14:textId="77777777" w:rsidR="00975CC5" w:rsidRDefault="00975CC5" w:rsidP="00975CC5">
      <w:pPr>
        <w:widowControl w:val="0"/>
        <w:autoSpaceDE w:val="0"/>
        <w:autoSpaceDN w:val="0"/>
        <w:adjustRightInd w:val="0"/>
        <w:rPr>
          <w:rFonts w:cs="Helvetica"/>
          <w:sz w:val="22"/>
          <w:szCs w:val="32"/>
        </w:rPr>
      </w:pPr>
    </w:p>
    <w:p w14:paraId="590B2710" w14:textId="77777777" w:rsidR="00975CC5" w:rsidRPr="00D935EC" w:rsidRDefault="00975CC5" w:rsidP="00975CC5">
      <w:pPr>
        <w:pStyle w:val="PlainText"/>
        <w:rPr>
          <w:rFonts w:ascii="Times New Roman" w:eastAsia="MS Mincho" w:hAnsi="Times New Roman"/>
          <w:sz w:val="22"/>
        </w:rPr>
      </w:pPr>
      <w:r w:rsidRPr="00975CC5">
        <w:rPr>
          <w:rFonts w:ascii="Times New Roman" w:eastAsia="MS Mincho" w:hAnsi="Times New Roman"/>
          <w:sz w:val="22"/>
        </w:rPr>
        <w:t>J. P. Schwarz</w:t>
      </w:r>
      <w:r w:rsidRPr="00D935EC">
        <w:rPr>
          <w:rFonts w:ascii="Times New Roman" w:eastAsia="MS Mincho" w:hAnsi="Times New Roman"/>
          <w:sz w:val="22"/>
        </w:rPr>
        <w:t xml:space="preserve">, J. R. </w:t>
      </w:r>
      <w:proofErr w:type="spellStart"/>
      <w:r w:rsidRPr="00D935EC">
        <w:rPr>
          <w:rFonts w:ascii="Times New Roman" w:eastAsia="MS Mincho" w:hAnsi="Times New Roman"/>
          <w:sz w:val="22"/>
        </w:rPr>
        <w:t>Spackman</w:t>
      </w:r>
      <w:proofErr w:type="spellEnd"/>
      <w:r w:rsidRPr="00D935EC">
        <w:rPr>
          <w:rFonts w:ascii="Times New Roman" w:eastAsia="MS Mincho" w:hAnsi="Times New Roman"/>
          <w:sz w:val="22"/>
        </w:rPr>
        <w:t xml:space="preserve">, D. W. Fahey, R. S. </w:t>
      </w:r>
      <w:proofErr w:type="spellStart"/>
      <w:r w:rsidRPr="00D935EC">
        <w:rPr>
          <w:rFonts w:ascii="Times New Roman" w:eastAsia="MS Mincho" w:hAnsi="Times New Roman"/>
          <w:sz w:val="22"/>
        </w:rPr>
        <w:t>Gao</w:t>
      </w:r>
      <w:proofErr w:type="spellEnd"/>
      <w:r w:rsidRPr="00D935EC">
        <w:rPr>
          <w:rFonts w:ascii="Times New Roman" w:eastAsia="MS Mincho" w:hAnsi="Times New Roman"/>
          <w:sz w:val="22"/>
        </w:rPr>
        <w:t xml:space="preserve">, U. </w:t>
      </w:r>
      <w:proofErr w:type="spellStart"/>
      <w:r w:rsidRPr="00D935EC">
        <w:rPr>
          <w:rFonts w:ascii="Times New Roman" w:eastAsia="MS Mincho" w:hAnsi="Times New Roman"/>
          <w:sz w:val="22"/>
        </w:rPr>
        <w:t>Lohmann</w:t>
      </w:r>
      <w:proofErr w:type="spellEnd"/>
      <w:r w:rsidRPr="00D935EC">
        <w:rPr>
          <w:rFonts w:ascii="Times New Roman" w:eastAsia="MS Mincho" w:hAnsi="Times New Roman"/>
          <w:sz w:val="22"/>
        </w:rPr>
        <w:t xml:space="preserve">, P. </w:t>
      </w:r>
      <w:proofErr w:type="spellStart"/>
      <w:r w:rsidRPr="00D935EC">
        <w:rPr>
          <w:rFonts w:ascii="Times New Roman" w:eastAsia="MS Mincho" w:hAnsi="Times New Roman"/>
          <w:sz w:val="22"/>
        </w:rPr>
        <w:t>Stier</w:t>
      </w:r>
      <w:proofErr w:type="spellEnd"/>
      <w:r w:rsidRPr="00D935EC">
        <w:rPr>
          <w:rFonts w:ascii="Times New Roman" w:eastAsia="MS Mincho" w:hAnsi="Times New Roman"/>
          <w:sz w:val="22"/>
        </w:rPr>
        <w:t xml:space="preserve">, L. A. Watts, D. S. Thomson, D. A. Lack, L. </w:t>
      </w:r>
      <w:proofErr w:type="spellStart"/>
      <w:r w:rsidRPr="00D935EC">
        <w:rPr>
          <w:rFonts w:ascii="Times New Roman" w:eastAsia="MS Mincho" w:hAnsi="Times New Roman"/>
          <w:sz w:val="22"/>
        </w:rPr>
        <w:t>Pfister</w:t>
      </w:r>
      <w:proofErr w:type="spellEnd"/>
      <w:r w:rsidRPr="00D935EC">
        <w:rPr>
          <w:rFonts w:ascii="Times New Roman" w:eastAsia="MS Mincho" w:hAnsi="Times New Roman"/>
          <w:sz w:val="22"/>
        </w:rPr>
        <w:t xml:space="preserve">, M. J. Mahoney, D. </w:t>
      </w:r>
      <w:proofErr w:type="spellStart"/>
      <w:r w:rsidRPr="00D935EC">
        <w:rPr>
          <w:rFonts w:ascii="Times New Roman" w:eastAsia="MS Mincho" w:hAnsi="Times New Roman"/>
          <w:sz w:val="22"/>
        </w:rPr>
        <w:t>Baumgardner</w:t>
      </w:r>
      <w:proofErr w:type="spellEnd"/>
      <w:r w:rsidRPr="00D935EC">
        <w:rPr>
          <w:rFonts w:ascii="Times New Roman" w:eastAsia="MS Mincho" w:hAnsi="Times New Roman"/>
          <w:sz w:val="22"/>
        </w:rPr>
        <w:t>, J. C. Wilson, J. M. Reeves</w:t>
      </w:r>
      <w:r w:rsidRPr="00D935EC">
        <w:rPr>
          <w:rFonts w:ascii="Times New Roman" w:eastAsia="MS Mincho" w:hAnsi="Times New Roman"/>
          <w:i/>
          <w:sz w:val="22"/>
        </w:rPr>
        <w:t xml:space="preserve">, </w:t>
      </w:r>
      <w:r w:rsidRPr="00D935EC">
        <w:rPr>
          <w:rFonts w:ascii="Times New Roman" w:eastAsia="MS Mincho" w:hAnsi="Times New Roman"/>
          <w:sz w:val="22"/>
        </w:rPr>
        <w:t xml:space="preserve">Coatings and their enhancement of black-carbon light absorption in the tropical </w:t>
      </w:r>
      <w:proofErr w:type="spellStart"/>
      <w:r w:rsidRPr="00D935EC">
        <w:rPr>
          <w:rFonts w:ascii="Times New Roman" w:eastAsia="MS Mincho" w:hAnsi="Times New Roman"/>
          <w:sz w:val="22"/>
        </w:rPr>
        <w:t>atxmosphere</w:t>
      </w:r>
      <w:proofErr w:type="spellEnd"/>
      <w:r w:rsidRPr="00D935EC">
        <w:rPr>
          <w:rFonts w:ascii="Times New Roman" w:eastAsia="MS Mincho" w:hAnsi="Times New Roman"/>
          <w:sz w:val="22"/>
        </w:rPr>
        <w:t xml:space="preserve">, </w:t>
      </w:r>
      <w:r w:rsidRPr="00D935EC">
        <w:rPr>
          <w:rFonts w:ascii="Times New Roman" w:eastAsia="MS Mincho" w:hAnsi="Times New Roman"/>
          <w:i/>
          <w:sz w:val="22"/>
        </w:rPr>
        <w:t xml:space="preserve">J. </w:t>
      </w:r>
      <w:proofErr w:type="spellStart"/>
      <w:r w:rsidRPr="00D935EC">
        <w:rPr>
          <w:rFonts w:ascii="Times New Roman" w:eastAsia="MS Mincho" w:hAnsi="Times New Roman"/>
          <w:i/>
          <w:sz w:val="22"/>
        </w:rPr>
        <w:t>Geophys</w:t>
      </w:r>
      <w:proofErr w:type="spellEnd"/>
      <w:r w:rsidRPr="00D935EC">
        <w:rPr>
          <w:rFonts w:ascii="Times New Roman" w:eastAsia="MS Mincho" w:hAnsi="Times New Roman"/>
          <w:i/>
          <w:sz w:val="22"/>
        </w:rPr>
        <w:t>. Res.,</w:t>
      </w:r>
      <w:r w:rsidRPr="00D935EC">
        <w:rPr>
          <w:rFonts w:ascii="Times New Roman" w:hAnsi="Times New Roman"/>
          <w:color w:val="000000"/>
          <w:sz w:val="24"/>
        </w:rPr>
        <w:t xml:space="preserve"> </w:t>
      </w:r>
      <w:r w:rsidRPr="00D935EC">
        <w:rPr>
          <w:rFonts w:ascii="Times New Roman" w:hAnsi="Times New Roman"/>
          <w:color w:val="000000"/>
          <w:sz w:val="22"/>
        </w:rPr>
        <w:t>doi</w:t>
      </w:r>
      <w:proofErr w:type="gramStart"/>
      <w:r w:rsidRPr="00D935EC">
        <w:rPr>
          <w:rFonts w:ascii="Times New Roman" w:hAnsi="Times New Roman"/>
          <w:color w:val="000000"/>
          <w:sz w:val="22"/>
        </w:rPr>
        <w:t>:10.1029</w:t>
      </w:r>
      <w:proofErr w:type="gramEnd"/>
      <w:r w:rsidRPr="00D935EC">
        <w:rPr>
          <w:rFonts w:ascii="Times New Roman" w:hAnsi="Times New Roman"/>
          <w:color w:val="000000"/>
          <w:sz w:val="22"/>
        </w:rPr>
        <w:t>/2007JD009042, 2008</w:t>
      </w:r>
      <w:r w:rsidRPr="00D935EC">
        <w:rPr>
          <w:rFonts w:ascii="Times New Roman" w:eastAsia="MS Mincho" w:hAnsi="Times New Roman"/>
          <w:sz w:val="22"/>
        </w:rPr>
        <w:t>.</w:t>
      </w:r>
    </w:p>
    <w:p w14:paraId="1BE667E2" w14:textId="77777777" w:rsidR="00975CC5" w:rsidRPr="00EA24C5" w:rsidRDefault="00975CC5" w:rsidP="00975CC5">
      <w:pPr>
        <w:widowControl w:val="0"/>
        <w:autoSpaceDE w:val="0"/>
        <w:autoSpaceDN w:val="0"/>
        <w:adjustRightInd w:val="0"/>
        <w:rPr>
          <w:rFonts w:cs="Helvetica"/>
          <w:sz w:val="22"/>
          <w:szCs w:val="32"/>
        </w:rPr>
      </w:pPr>
    </w:p>
    <w:p w14:paraId="712BFF1F" w14:textId="77777777" w:rsidR="00975CC5" w:rsidRPr="00975CC5" w:rsidRDefault="00975CC5">
      <w:pPr>
        <w:rPr>
          <w:szCs w:val="24"/>
        </w:rPr>
      </w:pPr>
    </w:p>
    <w:sectPr w:rsidR="00975CC5" w:rsidRPr="00975CC5" w:rsidSect="00560D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6C"/>
    <w:rsid w:val="000D1EE4"/>
    <w:rsid w:val="00283C03"/>
    <w:rsid w:val="003828E3"/>
    <w:rsid w:val="00437F6C"/>
    <w:rsid w:val="00560D9D"/>
    <w:rsid w:val="00592F0F"/>
    <w:rsid w:val="00650688"/>
    <w:rsid w:val="00975CC5"/>
    <w:rsid w:val="00C236AF"/>
    <w:rsid w:val="00D106B4"/>
    <w:rsid w:val="00FF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37CCD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6C"/>
    <w:rPr>
      <w:rFonts w:ascii="Times" w:eastAsia="Times" w:hAnsi="Times" w:cs="Times New Roman"/>
      <w:szCs w:val="20"/>
    </w:rPr>
  </w:style>
  <w:style w:type="paragraph" w:styleId="Heading1">
    <w:name w:val="heading 1"/>
    <w:basedOn w:val="Normal"/>
    <w:next w:val="Normal"/>
    <w:link w:val="Heading1Char"/>
    <w:qFormat/>
    <w:rsid w:val="00437F6C"/>
    <w:pPr>
      <w:keepNext/>
      <w:outlineLvl w:val="0"/>
    </w:pPr>
    <w:rPr>
      <w:b/>
      <w:sz w:val="22"/>
    </w:rPr>
  </w:style>
  <w:style w:type="paragraph" w:styleId="Heading3">
    <w:name w:val="heading 3"/>
    <w:basedOn w:val="Normal"/>
    <w:next w:val="Normal"/>
    <w:link w:val="Heading3Char"/>
    <w:qFormat/>
    <w:rsid w:val="00437F6C"/>
    <w:pPr>
      <w:keepNext/>
      <w:tabs>
        <w:tab w:val="left" w:pos="3240"/>
        <w:tab w:val="left" w:pos="3780"/>
        <w:tab w:val="left" w:pos="4860"/>
        <w:tab w:val="left" w:pos="6210"/>
        <w:tab w:val="left" w:pos="756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F6C"/>
    <w:rPr>
      <w:rFonts w:ascii="Times" w:eastAsia="Times" w:hAnsi="Times" w:cs="Times New Roman"/>
      <w:b/>
      <w:sz w:val="22"/>
      <w:szCs w:val="20"/>
    </w:rPr>
  </w:style>
  <w:style w:type="character" w:customStyle="1" w:styleId="Heading3Char">
    <w:name w:val="Heading 3 Char"/>
    <w:basedOn w:val="DefaultParagraphFont"/>
    <w:link w:val="Heading3"/>
    <w:rsid w:val="00437F6C"/>
    <w:rPr>
      <w:rFonts w:ascii="Times" w:eastAsia="Times" w:hAnsi="Times" w:cs="Times New Roman"/>
      <w:b/>
      <w:szCs w:val="20"/>
    </w:rPr>
  </w:style>
  <w:style w:type="paragraph" w:styleId="PlainText">
    <w:name w:val="Plain Text"/>
    <w:basedOn w:val="Normal"/>
    <w:link w:val="PlainTextChar"/>
    <w:rsid w:val="00437F6C"/>
    <w:rPr>
      <w:rFonts w:ascii="Courier New" w:hAnsi="Courier New"/>
      <w:sz w:val="20"/>
    </w:rPr>
  </w:style>
  <w:style w:type="character" w:customStyle="1" w:styleId="PlainTextChar">
    <w:name w:val="Plain Text Char"/>
    <w:basedOn w:val="DefaultParagraphFont"/>
    <w:link w:val="PlainText"/>
    <w:rsid w:val="00437F6C"/>
    <w:rPr>
      <w:rFonts w:ascii="Courier New" w:eastAsia="Times" w:hAnsi="Courier New" w:cs="Times New Roman"/>
      <w:sz w:val="20"/>
      <w:szCs w:val="20"/>
    </w:rPr>
  </w:style>
  <w:style w:type="character" w:styleId="Hyperlink">
    <w:name w:val="Hyperlink"/>
    <w:basedOn w:val="DefaultParagraphFont"/>
    <w:uiPriority w:val="99"/>
    <w:unhideWhenUsed/>
    <w:rsid w:val="00437F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6C"/>
    <w:rPr>
      <w:rFonts w:ascii="Times" w:eastAsia="Times" w:hAnsi="Times" w:cs="Times New Roman"/>
      <w:szCs w:val="20"/>
    </w:rPr>
  </w:style>
  <w:style w:type="paragraph" w:styleId="Heading1">
    <w:name w:val="heading 1"/>
    <w:basedOn w:val="Normal"/>
    <w:next w:val="Normal"/>
    <w:link w:val="Heading1Char"/>
    <w:qFormat/>
    <w:rsid w:val="00437F6C"/>
    <w:pPr>
      <w:keepNext/>
      <w:outlineLvl w:val="0"/>
    </w:pPr>
    <w:rPr>
      <w:b/>
      <w:sz w:val="22"/>
    </w:rPr>
  </w:style>
  <w:style w:type="paragraph" w:styleId="Heading3">
    <w:name w:val="heading 3"/>
    <w:basedOn w:val="Normal"/>
    <w:next w:val="Normal"/>
    <w:link w:val="Heading3Char"/>
    <w:qFormat/>
    <w:rsid w:val="00437F6C"/>
    <w:pPr>
      <w:keepNext/>
      <w:tabs>
        <w:tab w:val="left" w:pos="3240"/>
        <w:tab w:val="left" w:pos="3780"/>
        <w:tab w:val="left" w:pos="4860"/>
        <w:tab w:val="left" w:pos="6210"/>
        <w:tab w:val="left" w:pos="756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F6C"/>
    <w:rPr>
      <w:rFonts w:ascii="Times" w:eastAsia="Times" w:hAnsi="Times" w:cs="Times New Roman"/>
      <w:b/>
      <w:sz w:val="22"/>
      <w:szCs w:val="20"/>
    </w:rPr>
  </w:style>
  <w:style w:type="character" w:customStyle="1" w:styleId="Heading3Char">
    <w:name w:val="Heading 3 Char"/>
    <w:basedOn w:val="DefaultParagraphFont"/>
    <w:link w:val="Heading3"/>
    <w:rsid w:val="00437F6C"/>
    <w:rPr>
      <w:rFonts w:ascii="Times" w:eastAsia="Times" w:hAnsi="Times" w:cs="Times New Roman"/>
      <w:b/>
      <w:szCs w:val="20"/>
    </w:rPr>
  </w:style>
  <w:style w:type="paragraph" w:styleId="PlainText">
    <w:name w:val="Plain Text"/>
    <w:basedOn w:val="Normal"/>
    <w:link w:val="PlainTextChar"/>
    <w:rsid w:val="00437F6C"/>
    <w:rPr>
      <w:rFonts w:ascii="Courier New" w:hAnsi="Courier New"/>
      <w:sz w:val="20"/>
    </w:rPr>
  </w:style>
  <w:style w:type="character" w:customStyle="1" w:styleId="PlainTextChar">
    <w:name w:val="Plain Text Char"/>
    <w:basedOn w:val="DefaultParagraphFont"/>
    <w:link w:val="PlainText"/>
    <w:rsid w:val="00437F6C"/>
    <w:rPr>
      <w:rFonts w:ascii="Courier New" w:eastAsia="Times" w:hAnsi="Courier New" w:cs="Times New Roman"/>
      <w:sz w:val="20"/>
      <w:szCs w:val="20"/>
    </w:rPr>
  </w:style>
  <w:style w:type="character" w:styleId="Hyperlink">
    <w:name w:val="Hyperlink"/>
    <w:basedOn w:val="DefaultParagraphFont"/>
    <w:uiPriority w:val="99"/>
    <w:unhideWhenUsed/>
    <w:rsid w:val="00437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shua.p.schwarz@noaa.gov" TargetMode="External"/><Relationship Id="rId6"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9" Type="http://schemas.openxmlformats.org/officeDocument/2006/relationships/image" Target="media/image2.emf"/><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487</Words>
  <Characters>2781</Characters>
  <Application>Microsoft Macintosh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Schwarz</dc:creator>
  <cp:keywords/>
  <dc:description/>
  <cp:lastModifiedBy>Joshua Schwarz</cp:lastModifiedBy>
  <cp:revision>4</cp:revision>
  <dcterms:created xsi:type="dcterms:W3CDTF">2012-10-05T17:54:00Z</dcterms:created>
  <dcterms:modified xsi:type="dcterms:W3CDTF">2012-10-05T18:21:00Z</dcterms:modified>
</cp:coreProperties>
</file>